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ОБРАЗОВАНИЯ, НАУКИ И МОЛОДЕЖНОЙ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ПОЛИТИКИ 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8815FE" w:rsidRPr="008815FE" w:rsidRDefault="008815FE" w:rsidP="008815F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ПМ.03 ОПТИМИ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ЗАЦИЯ РЕСУРСОВ ОРГАНИЗАЦИЙ </w:t>
      </w: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(ПОДРАЗДЕЛЕНИЙ),</w:t>
      </w:r>
    </w:p>
    <w:p w:rsidR="008815FE" w:rsidRPr="008815FE" w:rsidRDefault="008815FE" w:rsidP="008815F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 СВЯЗАНЫХ С МАТЕРИАЛЬНЫМИ И </w:t>
      </w:r>
    </w:p>
    <w:p w:rsidR="008815FE" w:rsidRPr="008815FE" w:rsidRDefault="008815FE" w:rsidP="008815F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НЕМАТЕРИАЛЬНЫМИ ПОТОКАМИ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8815FE">
        <w:rPr>
          <w:rFonts w:ascii="Times New Roman" w:hAnsi="Times New Roman"/>
          <w:bCs/>
          <w:sz w:val="28"/>
          <w:szCs w:val="28"/>
        </w:rPr>
        <w:t>2</w:t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  <w:bookmarkStart w:id="0" w:name="_GoBack"/>
      <w:bookmarkEnd w:id="0"/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2674DD" w:rsidRPr="002674DD" w:rsidTr="00B043DF"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674DD" w:rsidRPr="002674DD" w:rsidTr="00B043DF"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ВД 3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Оптимизация  ресурсов организации  (подразделения), связанных с управлением материальными и нематериальными потоками</w:t>
            </w:r>
          </w:p>
        </w:tc>
      </w:tr>
      <w:tr w:rsidR="002674DD" w:rsidRPr="002674DD" w:rsidTr="00B043DF"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Владеть методологией оценки эффективности </w:t>
            </w:r>
            <w:proofErr w:type="spellStart"/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фукционирования</w:t>
            </w:r>
            <w:proofErr w:type="spellEnd"/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элементов логистической системы.</w:t>
            </w:r>
          </w:p>
        </w:tc>
      </w:tr>
      <w:tr w:rsidR="002674DD" w:rsidRPr="002674DD" w:rsidTr="00B043DF"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      </w:r>
          </w:p>
        </w:tc>
      </w:tr>
      <w:tr w:rsidR="002674DD" w:rsidRPr="002674DD" w:rsidTr="00B043DF">
        <w:trPr>
          <w:trHeight w:val="180"/>
        </w:trPr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3.3.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Рассчитывать и анализировать логистические издержки.</w:t>
            </w:r>
          </w:p>
        </w:tc>
      </w:tr>
      <w:tr w:rsidR="002674DD" w:rsidRPr="002674DD" w:rsidTr="00B043DF">
        <w:trPr>
          <w:trHeight w:val="81"/>
        </w:trPr>
        <w:tc>
          <w:tcPr>
            <w:tcW w:w="1204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3.4.</w:t>
            </w:r>
          </w:p>
        </w:tc>
        <w:tc>
          <w:tcPr>
            <w:tcW w:w="8367" w:type="dxa"/>
          </w:tcPr>
          <w:p w:rsidR="002674DD" w:rsidRPr="002674DD" w:rsidRDefault="002674DD" w:rsidP="002674D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современные логистические концепции и принципы сокращения логистических расходов.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2674DD">
        <w:rPr>
          <w:color w:val="auto"/>
        </w:rPr>
        <w:t>72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ED7F20" w:rsidRPr="003A1876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2674DD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F8016F" w:rsidRPr="003A1876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5540BB" w:rsidRPr="003A1876" w:rsidRDefault="005540BB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A1876" w:rsidTr="00693F0D">
        <w:tc>
          <w:tcPr>
            <w:tcW w:w="4784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2674DD" w:rsidTr="0020382D">
        <w:tc>
          <w:tcPr>
            <w:tcW w:w="4784" w:type="dxa"/>
          </w:tcPr>
          <w:p w:rsidR="0020382D" w:rsidRPr="002674DD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2674DD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2674DD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A1876" w:rsidTr="0079560B">
        <w:tc>
          <w:tcPr>
            <w:tcW w:w="4784" w:type="dxa"/>
          </w:tcPr>
          <w:p w:rsidR="002674DD" w:rsidRPr="002674DD" w:rsidRDefault="002674DD" w:rsidP="002674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4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МДК 03.01 </w:t>
            </w:r>
          </w:p>
          <w:p w:rsidR="002674DD" w:rsidRPr="002674DD" w:rsidRDefault="002674DD" w:rsidP="002674D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6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Оптимизация ресурсов организаций </w:t>
            </w:r>
          </w:p>
          <w:p w:rsidR="0020382D" w:rsidRPr="0020382D" w:rsidRDefault="002674D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(подразделений)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A1876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79560B">
        <w:tc>
          <w:tcPr>
            <w:tcW w:w="4784" w:type="dxa"/>
          </w:tcPr>
          <w:p w:rsidR="0020382D" w:rsidRPr="002674DD" w:rsidRDefault="002674D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МДК 03.02 Оценка инвестиционных проектов </w:t>
            </w: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 xml:space="preserve">в логистической системе  </w:t>
            </w:r>
          </w:p>
        </w:tc>
        <w:tc>
          <w:tcPr>
            <w:tcW w:w="2393" w:type="dxa"/>
            <w:vMerge/>
            <w:vAlign w:val="center"/>
          </w:tcPr>
          <w:p w:rsidR="0020382D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20382D" w:rsidRPr="003A1876" w:rsidTr="0020382D">
        <w:trPr>
          <w:trHeight w:val="233"/>
        </w:trPr>
        <w:tc>
          <w:tcPr>
            <w:tcW w:w="4784" w:type="dxa"/>
          </w:tcPr>
          <w:p w:rsidR="0020382D" w:rsidRPr="003A1876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A1876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A1876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Концентрированная</w:t>
            </w:r>
          </w:p>
        </w:tc>
      </w:tr>
      <w:tr w:rsidR="0020382D" w:rsidRPr="003A1876" w:rsidTr="005F7B62">
        <w:tc>
          <w:tcPr>
            <w:tcW w:w="4784" w:type="dxa"/>
          </w:tcPr>
          <w:p w:rsidR="002674DD" w:rsidRPr="002674DD" w:rsidRDefault="002674D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 xml:space="preserve">МДК 03.01 </w:t>
            </w:r>
          </w:p>
          <w:p w:rsidR="002674DD" w:rsidRPr="002674DD" w:rsidRDefault="002674D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ресурсов организаций </w:t>
            </w:r>
          </w:p>
          <w:p w:rsidR="0020382D" w:rsidRPr="0020382D" w:rsidRDefault="002674DD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(подразделений)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A1876" w:rsidRDefault="002674D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5F7B62">
        <w:tc>
          <w:tcPr>
            <w:tcW w:w="4784" w:type="dxa"/>
          </w:tcPr>
          <w:p w:rsidR="0020382D" w:rsidRPr="0020382D" w:rsidRDefault="002674DD" w:rsidP="000B056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 xml:space="preserve">МДК 03.02 Оценка инвестиционных проектов в логистической системе  </w:t>
            </w: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1876">
              <w:rPr>
                <w:rFonts w:ascii="Times New Roman" w:hAnsi="Times New Roman" w:cs="Times New Roman"/>
                <w:b/>
              </w:rPr>
              <w:t xml:space="preserve">Итого </w:t>
            </w:r>
            <w:r w:rsidR="002674D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A1876">
              <w:rPr>
                <w:rFonts w:ascii="Times New Roman" w:hAnsi="Times New Roman" w:cs="Times New Roman"/>
                <w:b/>
              </w:rPr>
              <w:t xml:space="preserve">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2674DD" w:rsidRPr="002674DD" w:rsidRDefault="002674DD" w:rsidP="002674DD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1. Оптимизация ресурсов организации.</w:t>
            </w:r>
          </w:p>
          <w:p w:rsidR="002674DD" w:rsidRPr="002674DD" w:rsidRDefault="002674DD" w:rsidP="002674DD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2.  Альтернативный выбор наилучших вариантов капиталовложений.</w:t>
            </w:r>
          </w:p>
          <w:p w:rsidR="002674DD" w:rsidRPr="002674DD" w:rsidRDefault="002674DD" w:rsidP="002674DD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3. Оптимизация процессов управления в логистической системе.</w:t>
            </w:r>
          </w:p>
          <w:p w:rsidR="002674DD" w:rsidRPr="002674DD" w:rsidRDefault="002674DD" w:rsidP="002674DD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4. Выбор оптимального перевозчика и доставка товара.</w:t>
            </w:r>
          </w:p>
          <w:p w:rsidR="002674DD" w:rsidRPr="002674DD" w:rsidRDefault="002674DD" w:rsidP="002674DD">
            <w:pPr>
              <w:tabs>
                <w:tab w:val="left" w:pos="44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5. Составление плана маркетинговой деятельности и анализ конкуренции на рынке.</w:t>
            </w:r>
          </w:p>
          <w:p w:rsidR="00963812" w:rsidRPr="003A1876" w:rsidRDefault="002674DD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 w:rsidRPr="002674DD">
              <w:t>6. Разработка плана финансовых результатов и оценка инвестиционных проектов.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B673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3D33F0">
        <w:trPr>
          <w:trHeight w:val="321"/>
        </w:trPr>
        <w:tc>
          <w:tcPr>
            <w:tcW w:w="113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2674DD" w:rsidRPr="002674DD" w:rsidRDefault="002674DD" w:rsidP="002674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Оптимизация ресурсов в закупочной, распределительной, производственной деятельности организации.</w:t>
            </w:r>
          </w:p>
          <w:p w:rsidR="002674DD" w:rsidRPr="002674DD" w:rsidRDefault="002674DD" w:rsidP="002674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 наилучших вариантов капиталовложений путем оценки основных параметров инвестиционных проектов.</w:t>
            </w:r>
          </w:p>
          <w:p w:rsidR="002674DD" w:rsidRPr="002674DD" w:rsidRDefault="002674DD" w:rsidP="002674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Оптимизация ресурсов в транспортной деятельности организации</w:t>
            </w:r>
          </w:p>
          <w:p w:rsidR="002674DD" w:rsidRPr="002674DD" w:rsidRDefault="002674DD" w:rsidP="002674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Оптимизация ресурсов в складских бизнес-процессах</w:t>
            </w:r>
          </w:p>
          <w:p w:rsidR="00D356EE" w:rsidRPr="0060367B" w:rsidRDefault="002674DD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left="34" w:firstLine="0"/>
            </w:pPr>
            <w:r>
              <w:t xml:space="preserve">5. </w:t>
            </w:r>
            <w:r w:rsidRPr="002674DD">
              <w:t>Оценка эффективности инвестиционных проектов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tabs>
                <w:tab w:val="left" w:pos="2400"/>
              </w:tabs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74DD">
        <w:rPr>
          <w:rFonts w:ascii="Times New Roman" w:hAnsi="Times New Roman" w:cs="Times New Roman"/>
          <w:sz w:val="24"/>
          <w:szCs w:val="24"/>
        </w:rPr>
        <w:t>Акаева, В. Р., Логистика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/ В. Р. Акаева.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327 с. — ISBN 978-5-406-10136-0. — URL:https://book.ru/book/944652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</w:t>
      </w:r>
      <w:r w:rsidRPr="002674DD">
        <w:rPr>
          <w:rFonts w:ascii="Times New Roman" w:hAnsi="Times New Roman" w:cs="Times New Roman"/>
          <w:sz w:val="24"/>
          <w:szCs w:val="24"/>
        </w:rPr>
        <w:t>к</w:t>
      </w:r>
      <w:r w:rsidRPr="002674DD">
        <w:rPr>
          <w:rFonts w:ascii="Times New Roman" w:hAnsi="Times New Roman" w:cs="Times New Roman"/>
          <w:sz w:val="24"/>
          <w:szCs w:val="24"/>
        </w:rPr>
        <w:t>тронный.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74DD">
        <w:rPr>
          <w:rFonts w:ascii="Times New Roman" w:hAnsi="Times New Roman" w:cs="Times New Roman"/>
          <w:sz w:val="24"/>
          <w:szCs w:val="24"/>
        </w:rPr>
        <w:t>Акаева, В. Р., Планирование и организация логистического процесса в организациях (подразд</w:t>
      </w:r>
      <w:r w:rsidRPr="002674DD">
        <w:rPr>
          <w:rFonts w:ascii="Times New Roman" w:hAnsi="Times New Roman" w:cs="Times New Roman"/>
          <w:sz w:val="24"/>
          <w:szCs w:val="24"/>
        </w:rPr>
        <w:t>е</w:t>
      </w:r>
      <w:r w:rsidRPr="002674DD">
        <w:rPr>
          <w:rFonts w:ascii="Times New Roman" w:hAnsi="Times New Roman" w:cs="Times New Roman"/>
          <w:sz w:val="24"/>
          <w:szCs w:val="24"/>
        </w:rPr>
        <w:t xml:space="preserve">лениях) различных сфер деятельности+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Еприложение</w:t>
      </w:r>
      <w:proofErr w:type="spellEnd"/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/ В. Р. Акаева, Г. Р. Стрекалова.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336 с. — ISBN 978-5-406-10576-4. — URL:https://book.ru/book/946247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</w:t>
      </w:r>
      <w:r w:rsidRPr="002674DD">
        <w:rPr>
          <w:rFonts w:ascii="Times New Roman" w:hAnsi="Times New Roman" w:cs="Times New Roman"/>
          <w:sz w:val="24"/>
          <w:szCs w:val="24"/>
        </w:rPr>
        <w:t>ь</w:t>
      </w:r>
      <w:r w:rsidRPr="002674DD">
        <w:rPr>
          <w:rFonts w:ascii="Times New Roman" w:hAnsi="Times New Roman" w:cs="Times New Roman"/>
          <w:sz w:val="24"/>
          <w:szCs w:val="24"/>
        </w:rPr>
        <w:t>ного образования / В. В. Щербаков [и др.] ; под редакцией В. В. Щербакова.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Изд</w:t>
      </w:r>
      <w:r w:rsidRPr="002674DD">
        <w:rPr>
          <w:rFonts w:ascii="Times New Roman" w:hAnsi="Times New Roman" w:cs="Times New Roman"/>
          <w:sz w:val="24"/>
          <w:szCs w:val="24"/>
        </w:rPr>
        <w:t>а</w:t>
      </w:r>
      <w:r w:rsidRPr="002674DD">
        <w:rPr>
          <w:rFonts w:ascii="Times New Roman" w:hAnsi="Times New Roman" w:cs="Times New Roman"/>
          <w:sz w:val="24"/>
          <w:szCs w:val="24"/>
        </w:rPr>
        <w:t xml:space="preserve">тельство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582 с. — (Профессиональное образование). — ISBN 978-5-534-11710-3.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>Марков, О. И., Оптимизация ресурсов организаций (подразделений), связанных с материальными и нематериальными потоками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/ О. И. Марков, В. А. Медведев.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162 с. — ISBN 978-5-406-09673-4. — URL:https://book.ru/book/943248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</w:t>
      </w:r>
      <w:r w:rsidRPr="002674DD">
        <w:rPr>
          <w:rFonts w:ascii="Times New Roman" w:hAnsi="Times New Roman" w:cs="Times New Roman"/>
          <w:sz w:val="24"/>
          <w:szCs w:val="24"/>
        </w:rPr>
        <w:t>к</w:t>
      </w:r>
      <w:r w:rsidRPr="002674DD">
        <w:rPr>
          <w:rFonts w:ascii="Times New Roman" w:hAnsi="Times New Roman" w:cs="Times New Roman"/>
          <w:sz w:val="24"/>
          <w:szCs w:val="24"/>
        </w:rPr>
        <w:t>тронный.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</w:t>
      </w:r>
      <w:r w:rsidRPr="002674DD">
        <w:rPr>
          <w:rFonts w:ascii="Times New Roman" w:hAnsi="Times New Roman" w:cs="Times New Roman"/>
          <w:sz w:val="24"/>
          <w:szCs w:val="24"/>
        </w:rPr>
        <w:t>и</w:t>
      </w:r>
      <w:r w:rsidRPr="002674DD">
        <w:rPr>
          <w:rFonts w:ascii="Times New Roman" w:hAnsi="Times New Roman" w:cs="Times New Roman"/>
          <w:sz w:val="24"/>
          <w:szCs w:val="24"/>
        </w:rPr>
        <w:t>зациях (подразделениях) различных сфер деятельности. Практикум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учебное пособие / В. А. Медведев.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131 с. — ISBN 978-5-406-10714-0. — URL:https://book.ru/book/947819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организациях (подра</w:t>
      </w:r>
      <w:r w:rsidRPr="002674DD">
        <w:rPr>
          <w:rFonts w:ascii="Times New Roman" w:hAnsi="Times New Roman" w:cs="Times New Roman"/>
          <w:sz w:val="24"/>
          <w:szCs w:val="24"/>
        </w:rPr>
        <w:t>з</w:t>
      </w:r>
      <w:r w:rsidRPr="002674DD">
        <w:rPr>
          <w:rFonts w:ascii="Times New Roman" w:hAnsi="Times New Roman" w:cs="Times New Roman"/>
          <w:sz w:val="24"/>
          <w:szCs w:val="24"/>
        </w:rPr>
        <w:t>делениях) различных сфер деятельности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/ В. А. Медведев.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, 2022. — 272 с. — ISBN 978-5-406-08771-8. — URL: </w:t>
      </w:r>
      <w:r w:rsidRPr="002674DD">
        <w:rPr>
          <w:rFonts w:ascii="Times New Roman" w:hAnsi="Times New Roman" w:cs="Times New Roman"/>
          <w:sz w:val="24"/>
          <w:szCs w:val="24"/>
        </w:rPr>
        <w:lastRenderedPageBreak/>
        <w:t>https://book.ru/book/941132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Ю. М.  Логистика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</w:t>
      </w:r>
      <w:r w:rsidRPr="002674DD">
        <w:rPr>
          <w:rFonts w:ascii="Times New Roman" w:hAnsi="Times New Roman" w:cs="Times New Roman"/>
          <w:sz w:val="24"/>
          <w:szCs w:val="24"/>
        </w:rPr>
        <w:t>а</w:t>
      </w:r>
      <w:r w:rsidRPr="002674DD">
        <w:rPr>
          <w:rFonts w:ascii="Times New Roman" w:hAnsi="Times New Roman" w:cs="Times New Roman"/>
          <w:sz w:val="24"/>
          <w:szCs w:val="24"/>
        </w:rPr>
        <w:t xml:space="preserve">зования / Ю. М.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559 с. — (Профессиональное образование). — ISBN 978-5-534-12456-9.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</w:t>
      </w:r>
      <w:r w:rsidRPr="002674DD">
        <w:rPr>
          <w:rFonts w:ascii="Times New Roman" w:hAnsi="Times New Roman" w:cs="Times New Roman"/>
          <w:sz w:val="24"/>
          <w:szCs w:val="24"/>
        </w:rPr>
        <w:t>н</w:t>
      </w:r>
      <w:r w:rsidRPr="002674DD">
        <w:rPr>
          <w:rFonts w:ascii="Times New Roman" w:hAnsi="Times New Roman" w:cs="Times New Roman"/>
          <w:sz w:val="24"/>
          <w:szCs w:val="24"/>
        </w:rPr>
        <w:t xml:space="preserve">ный // Образовательная платформа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 и доп. — Москва : И</w:t>
      </w:r>
      <w:r w:rsidRPr="002674DD">
        <w:rPr>
          <w:rFonts w:ascii="Times New Roman" w:hAnsi="Times New Roman" w:cs="Times New Roman"/>
          <w:sz w:val="24"/>
          <w:szCs w:val="24"/>
        </w:rPr>
        <w:t>з</w:t>
      </w:r>
      <w:r w:rsidRPr="002674DD">
        <w:rPr>
          <w:rFonts w:ascii="Times New Roman" w:hAnsi="Times New Roman" w:cs="Times New Roman"/>
          <w:sz w:val="24"/>
          <w:szCs w:val="24"/>
        </w:rPr>
        <w:t xml:space="preserve">дательство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221 с. — (Профессиональное образование). — ISBN 978-5-534-01263-7.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 [сайт]. — URL: https://urait.ru/bcode/512135 </w:t>
      </w:r>
    </w:p>
    <w:p w:rsidR="002674DD" w:rsidRPr="002674DD" w:rsidRDefault="002674DD" w:rsidP="002674DD">
      <w:pPr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Ю. М.  Планирование и организация логистического процесса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, С. А. Панов, А. Ю.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, 2022. — 422 с. — (Профессиональное образов</w:t>
      </w:r>
      <w:r w:rsidRPr="002674DD">
        <w:rPr>
          <w:rFonts w:ascii="Times New Roman" w:hAnsi="Times New Roman" w:cs="Times New Roman"/>
          <w:sz w:val="24"/>
          <w:szCs w:val="24"/>
        </w:rPr>
        <w:t>а</w:t>
      </w:r>
      <w:r w:rsidRPr="002674DD">
        <w:rPr>
          <w:rFonts w:ascii="Times New Roman" w:hAnsi="Times New Roman" w:cs="Times New Roman"/>
          <w:sz w:val="24"/>
          <w:szCs w:val="24"/>
        </w:rPr>
        <w:t>ние). — ISBN 978-5-534-13562-6. — Текст</w:t>
      </w:r>
      <w:proofErr w:type="gramStart"/>
      <w:r w:rsidRPr="002674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674DD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2674DD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https://urait.ru/bcode/513790</w:t>
        </w:r>
      </w:hyperlink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4DD">
        <w:rPr>
          <w:rFonts w:ascii="Times New Roman" w:hAnsi="Times New Roman" w:cs="Times New Roman"/>
          <w:b/>
          <w:sz w:val="24"/>
          <w:szCs w:val="24"/>
        </w:rPr>
        <w:t xml:space="preserve">Электронные ресурсы сети </w:t>
      </w:r>
      <w:r w:rsidRPr="002674DD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  <w:r w:rsidRPr="002674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4DD" w:rsidRPr="002674DD" w:rsidRDefault="002674DD" w:rsidP="002674DD">
      <w:pPr>
        <w:tabs>
          <w:tab w:val="left" w:pos="38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1.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ecsocman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ab/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2.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logisticsne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ws</w:t>
      </w:r>
      <w:proofErr w:type="spellEnd"/>
    </w:p>
    <w:p w:rsidR="006F71D7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logisticsnews</w:t>
        </w:r>
        <w:proofErr w:type="spellEnd"/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 xml:space="preserve">являются наличие </w:t>
      </w:r>
      <w:r w:rsidRPr="00B42B55">
        <w:rPr>
          <w:rFonts w:ascii="Times New Roman" w:hAnsi="Times New Roman"/>
          <w:sz w:val="24"/>
          <w:szCs w:val="24"/>
        </w:rPr>
        <w:lastRenderedPageBreak/>
        <w:t>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8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F1DC3"/>
    <w:rsid w:val="009F4F6D"/>
    <w:rsid w:val="00A73F0B"/>
    <w:rsid w:val="00AD6D15"/>
    <w:rsid w:val="00B1018B"/>
    <w:rsid w:val="00B42B55"/>
    <w:rsid w:val="00B67363"/>
    <w:rsid w:val="00B7285F"/>
    <w:rsid w:val="00B86618"/>
    <w:rsid w:val="00BA18EC"/>
    <w:rsid w:val="00BD2772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isticsnews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1379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5ACA-4143-468E-BF72-52DF7E5F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3</cp:revision>
  <dcterms:created xsi:type="dcterms:W3CDTF">2023-05-07T17:46:00Z</dcterms:created>
  <dcterms:modified xsi:type="dcterms:W3CDTF">2024-07-03T07:59:00Z</dcterms:modified>
</cp:coreProperties>
</file>