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>МИНИСТЕРСТВО ОБРАЗОВАНИЯ И НАУКИ НИЖЕГОРОДСКОЙ ОБЛАСТИ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 xml:space="preserve">Государственное бюджетное профессиональное 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>образовательное учреждение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 xml:space="preserve"> «НИЖЕГОРОДСКИЙ КОЛЛЕДЖ МАЛОГО БИЗНЕСА»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4A692C">
        <w:rPr>
          <w:rFonts w:eastAsia="Calibri"/>
          <w:sz w:val="28"/>
          <w:szCs w:val="28"/>
          <w:lang w:eastAsia="en-US"/>
        </w:rPr>
        <w:t xml:space="preserve">Комплект оценочных (контрольно-измерительных) материалов </w:t>
      </w: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Calibri"/>
          <w:caps/>
          <w:sz w:val="28"/>
          <w:szCs w:val="28"/>
          <w:lang w:eastAsia="en-US"/>
        </w:rPr>
      </w:pPr>
      <w:r w:rsidRPr="004A692C">
        <w:rPr>
          <w:rFonts w:eastAsia="Calibri"/>
          <w:sz w:val="28"/>
          <w:szCs w:val="28"/>
          <w:lang w:eastAsia="en-US"/>
        </w:rPr>
        <w:t>учебной дисциплины</w:t>
      </w: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Calibri"/>
          <w:caps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 xml:space="preserve">ООД.05 «География» </w:t>
      </w:r>
    </w:p>
    <w:p w:rsidR="004A692C" w:rsidRPr="004A692C" w:rsidRDefault="004A692C" w:rsidP="004A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Cs/>
          <w:sz w:val="28"/>
          <w:szCs w:val="28"/>
          <w:lang w:eastAsia="en-US"/>
        </w:rPr>
        <w:t xml:space="preserve">для специальности СПО </w:t>
      </w:r>
      <w:r w:rsidR="00505E4F">
        <w:rPr>
          <w:bCs/>
          <w:sz w:val="28"/>
          <w:szCs w:val="28"/>
        </w:rPr>
        <w:t xml:space="preserve">38.02.03 </w:t>
      </w:r>
      <w:r w:rsidR="00505E4F" w:rsidRPr="00735149">
        <w:rPr>
          <w:bCs/>
          <w:sz w:val="28"/>
          <w:szCs w:val="28"/>
        </w:rPr>
        <w:t>Операционная деятельность в логистике</w:t>
      </w:r>
    </w:p>
    <w:p w:rsidR="004A692C" w:rsidRPr="004A692C" w:rsidRDefault="004A692C" w:rsidP="004A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4A692C">
        <w:rPr>
          <w:rFonts w:eastAsia="Calibri"/>
          <w:bCs/>
          <w:sz w:val="28"/>
          <w:szCs w:val="28"/>
          <w:lang w:eastAsia="en-US"/>
        </w:rPr>
        <w:t>Нижний Новгород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4A692C">
        <w:rPr>
          <w:rFonts w:eastAsia="Calibri"/>
          <w:bCs/>
          <w:sz w:val="28"/>
          <w:szCs w:val="28"/>
          <w:lang w:eastAsia="en-US"/>
        </w:rPr>
        <w:t xml:space="preserve">2023  </w:t>
      </w: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sz w:val="28"/>
          <w:lang w:eastAsia="en-US"/>
        </w:rPr>
      </w:pPr>
      <w:r w:rsidRPr="004A692C">
        <w:rPr>
          <w:rFonts w:eastAsia="Calibri"/>
          <w:b/>
          <w:sz w:val="28"/>
          <w:lang w:eastAsia="en-US"/>
        </w:rPr>
        <w:br w:type="page"/>
      </w:r>
      <w:r w:rsidRPr="004A692C">
        <w:rPr>
          <w:rFonts w:eastAsia="Calibri"/>
          <w:b/>
          <w:sz w:val="28"/>
          <w:lang w:eastAsia="en-US"/>
        </w:rPr>
        <w:lastRenderedPageBreak/>
        <w:t>СОСТАВ КОМПЛЕКТА</w:t>
      </w: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 xml:space="preserve">1. </w:t>
            </w:r>
            <w:r w:rsidRPr="004A692C">
              <w:rPr>
                <w:rFonts w:eastAsia="Calibri"/>
                <w:szCs w:val="28"/>
                <w:lang w:eastAsia="en-US"/>
              </w:rPr>
              <w:t>Паспорт комплекта оценочных (контрольно-измерительных) материалов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1.1 Область применения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1.2 Описание процедуры оценки и системы оценивания по программе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1.2.1 Общие положения об организации оценки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 xml:space="preserve">2. </w:t>
            </w:r>
            <w:r w:rsidRPr="004A692C">
              <w:rPr>
                <w:rFonts w:eastAsia="Calibri"/>
                <w:szCs w:val="28"/>
                <w:lang w:eastAsia="en-US"/>
              </w:rPr>
              <w:t xml:space="preserve">Оценочные (контрольно-измерительные) материалы </w:t>
            </w:r>
            <w:r w:rsidRPr="004A692C">
              <w:rPr>
                <w:rFonts w:eastAsia="Calibri"/>
                <w:lang w:eastAsia="en-US"/>
              </w:rPr>
              <w:t>для промежуточной аттестации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  <w:p w:rsidR="004A692C" w:rsidRPr="004A692C" w:rsidRDefault="00764305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2.1 Оценочные (контрольно-измерительные) материалы для теоретического этапа промежуточной аттестации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  <w:p w:rsidR="004A692C" w:rsidRPr="004A692C" w:rsidRDefault="00764305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</w:tbl>
    <w:p w:rsidR="004A692C" w:rsidRPr="004A692C" w:rsidRDefault="004A692C" w:rsidP="004A692C">
      <w:pPr>
        <w:spacing w:line="360" w:lineRule="auto"/>
        <w:jc w:val="both"/>
        <w:rPr>
          <w:rFonts w:eastAsia="Calibri"/>
          <w:lang w:eastAsia="en-US"/>
        </w:rPr>
      </w:pP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lang w:eastAsia="en-US"/>
        </w:rPr>
        <w:br w:type="page"/>
      </w:r>
      <w:r w:rsidRPr="004A692C">
        <w:rPr>
          <w:rFonts w:eastAsia="Calibri"/>
          <w:b/>
          <w:sz w:val="28"/>
          <w:szCs w:val="28"/>
          <w:lang w:eastAsia="en-US"/>
        </w:rPr>
        <w:lastRenderedPageBreak/>
        <w:t>1 ПАСПОРТ КОМПЛЕКТА ОЦЕНОЧНЫХ (КОНТРОЛЬНО-ИЗМЕРИТЕЛЬНЫХ) МАТЕРИАЛОВ</w:t>
      </w:r>
    </w:p>
    <w:p w:rsidR="004A692C" w:rsidRPr="004A692C" w:rsidRDefault="004A692C" w:rsidP="004A692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4A692C">
        <w:rPr>
          <w:rFonts w:eastAsia="Calibri"/>
          <w:b/>
          <w:lang w:eastAsia="en-US"/>
        </w:rPr>
        <w:t>1. 1 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A692C" w:rsidRPr="00581A09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Cs/>
          <w:lang w:eastAsia="en-US"/>
        </w:rPr>
      </w:pPr>
      <w:r w:rsidRPr="00581A09">
        <w:rPr>
          <w:rFonts w:eastAsia="Calibri"/>
          <w:lang w:eastAsia="en-US"/>
        </w:rPr>
        <w:t xml:space="preserve">Комплект оценочных (контрольно-измерительных) материалов предназначен для оценки по специальности </w:t>
      </w:r>
      <w:r w:rsidR="00505E4F" w:rsidRPr="00581A09">
        <w:rPr>
          <w:rFonts w:eastAsia="Calibri"/>
          <w:bCs/>
          <w:lang w:eastAsia="en-US"/>
        </w:rPr>
        <w:t>38.02.03 Операционная деятельность в логистике</w:t>
      </w:r>
      <w:r w:rsidRPr="00581A09">
        <w:rPr>
          <w:rFonts w:eastAsia="Calibri"/>
          <w:bCs/>
          <w:lang w:eastAsia="en-US"/>
        </w:rPr>
        <w:t>.</w:t>
      </w: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Cs/>
          <w:lang w:eastAsia="en-US"/>
        </w:rPr>
      </w:pPr>
      <w:r w:rsidRPr="004A692C">
        <w:rPr>
          <w:rFonts w:eastAsia="Calibri"/>
          <w:bCs/>
          <w:lang w:eastAsia="en-US"/>
        </w:rPr>
        <w:t>Комплект предназначен для результатов освоения учебной дисциплины</w:t>
      </w:r>
      <w:r w:rsidRPr="004A692C">
        <w:rPr>
          <w:rFonts w:eastAsia="Calibri"/>
          <w:lang w:eastAsia="en-US"/>
        </w:rPr>
        <w:t xml:space="preserve"> ООД.05 «География».</w:t>
      </w: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4A692C">
        <w:rPr>
          <w:rFonts w:eastAsia="Calibri"/>
          <w:b/>
          <w:lang w:eastAsia="en-US"/>
        </w:rPr>
        <w:t>1.2 Описание процедуры оценки и системы оценивания по программе</w:t>
      </w: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4A692C">
        <w:rPr>
          <w:rFonts w:eastAsia="Calibri"/>
          <w:b/>
          <w:lang w:eastAsia="en-US"/>
        </w:rPr>
        <w:t>1.2.1 Общие положения об организации оценки</w:t>
      </w:r>
    </w:p>
    <w:p w:rsidR="004A692C" w:rsidRPr="004A692C" w:rsidRDefault="00DA6C43" w:rsidP="00DA6C43">
      <w:pPr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DA6C43">
        <w:rPr>
          <w:rFonts w:eastAsia="Calibri"/>
          <w:szCs w:val="22"/>
          <w:lang w:eastAsia="en-US"/>
        </w:rPr>
        <w:t>Комплект оценочных (контрольно-измерительных)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материалов представляет собой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совокупность контролирующих материалов, включающих контрольно-измерительные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материалы для проведения промежуточной аттестации: дифференцированный зачет по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учебной дисциплине.</w:t>
      </w: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4A692C">
        <w:rPr>
          <w:rFonts w:eastAsia="Calibri"/>
          <w:lang w:eastAsia="en-US"/>
        </w:rPr>
        <w:t>Оцениваемые компетенции: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bookmarkStart w:id="8" w:name="_Toc317462902"/>
      <w:bookmarkStart w:id="9" w:name="_Toc332622681"/>
      <w:bookmarkStart w:id="10" w:name="_Toc332623359"/>
      <w:bookmarkStart w:id="11" w:name="_Toc332624035"/>
      <w:bookmarkStart w:id="12" w:name="_Toc332624373"/>
      <w:bookmarkStart w:id="13" w:name="_Toc360378409"/>
      <w:bookmarkStart w:id="14" w:name="_Toc360378643"/>
      <w:bookmarkStart w:id="15" w:name="_Toc360434217"/>
      <w:r w:rsidRPr="00C22116">
        <w:t xml:space="preserve">ОК 1 Выбирать способы решения задач профессиональной деятельности применительно к различным контекстам 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ОК 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ОК 4 Эффективно взаимодействовать и работать в коллективе и команде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ОК 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ОК 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lastRenderedPageBreak/>
        <w:t>ОК 9 Пользоваться профессиональной документацией на государственном и иностранном языках</w:t>
      </w:r>
    </w:p>
    <w:p w:rsidR="00B508F9" w:rsidRDefault="00B508F9" w:rsidP="00B508F9">
      <w:pPr>
        <w:spacing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Профессиональные компетенции, элементы которых формируются при освоении дисциплины:</w:t>
      </w:r>
    </w:p>
    <w:p w:rsidR="00B508F9" w:rsidRDefault="00B508F9" w:rsidP="00B508F9">
      <w:pPr>
        <w:spacing w:line="36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ПК 3.1. Планировать, подгот</w:t>
      </w:r>
      <w:r>
        <w:rPr>
          <w:lang w:eastAsia="ru-RU"/>
        </w:rPr>
        <w:t xml:space="preserve">авливать и осуществлять процесс </w:t>
      </w:r>
      <w:r>
        <w:rPr>
          <w:lang w:eastAsia="ru-RU"/>
        </w:rPr>
        <w:t>перевозки грузов.</w:t>
      </w:r>
    </w:p>
    <w:p w:rsidR="004A692C" w:rsidRPr="002C7A5A" w:rsidRDefault="004A692C" w:rsidP="002C7A5A">
      <w:pPr>
        <w:spacing w:line="360" w:lineRule="auto"/>
        <w:ind w:firstLine="709"/>
        <w:contextualSpacing/>
        <w:jc w:val="both"/>
        <w:rPr>
          <w:b/>
          <w:lang w:eastAsia="ru-RU"/>
        </w:rPr>
      </w:pPr>
      <w:bookmarkStart w:id="16" w:name="_GoBack"/>
      <w:bookmarkEnd w:id="16"/>
      <w:r w:rsidRPr="002C7A5A">
        <w:rPr>
          <w:b/>
        </w:rPr>
        <w:t>Критерии оценки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В критерии оценки уровня подготовки обучающегося по дисциплине входят: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- степень глубины и прочности усвоения изученного материала;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- умение обучающегося использовать теоретические знания при выполнении практических задач;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rPr>
          <w:b/>
        </w:rPr>
        <w:t xml:space="preserve">Оценка «5» - </w:t>
      </w:r>
      <w:r w:rsidRPr="00C22116">
        <w:t>Теоретическое содержание дисциплины освоено полностью, без пробелов, необходимые практические навыки работы с освоенным материалом сформированы, все предусмотренные рабочей программой дисциплины учебные задания выполнены.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rPr>
          <w:b/>
        </w:rPr>
        <w:t xml:space="preserve">Оценка «4» - </w:t>
      </w:r>
      <w:r w:rsidRPr="00C22116">
        <w:t>Теоретическое содержание дисциплины освоено полностью, без пробелов, некоторые практические навыки работы с освоенным материалом сформированы недостаточно, все предусмотренные рабочей программой дисциплины учебные задания выполнены, некоторые виды заданий выполнены с ошибками.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rPr>
          <w:b/>
        </w:rPr>
        <w:t xml:space="preserve">Оценка «3» - </w:t>
      </w:r>
      <w:r w:rsidRPr="00C22116">
        <w:t>Теоретическое содержание дисциплины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рабочей программой дисциплины учебных заданий выполнено, некоторые из выполненных заданий содержат ошибки.</w:t>
      </w:r>
    </w:p>
    <w:p w:rsidR="004A692C" w:rsidRDefault="004A692C" w:rsidP="002C7A5A">
      <w:pPr>
        <w:spacing w:line="360" w:lineRule="auto"/>
        <w:ind w:firstLine="709"/>
        <w:contextualSpacing/>
        <w:jc w:val="both"/>
        <w:rPr>
          <w:lang w:eastAsia="ru-RU"/>
        </w:rPr>
      </w:pPr>
      <w:r w:rsidRPr="00C22116">
        <w:rPr>
          <w:b/>
        </w:rPr>
        <w:t xml:space="preserve">Оценка «2» - </w:t>
      </w:r>
      <w:r w:rsidRPr="00C22116">
        <w:t>Теоретическое содержание дисциплины (модуля) освоено частично, необходимые практические навыки работы не сформированы, большинство предусмотренных рабочей программой дисциплины (модуля) учебных заданий не выполнено; при дополнительной самостоятельной работе над материалом курса возможно повышение качества выполнения учебных заданий</w:t>
      </w:r>
    </w:p>
    <w:p w:rsidR="004A692C" w:rsidRPr="004A692C" w:rsidRDefault="004A692C" w:rsidP="004A692C">
      <w:pPr>
        <w:spacing w:line="360" w:lineRule="auto"/>
        <w:ind w:firstLine="709"/>
        <w:contextualSpacing/>
        <w:jc w:val="both"/>
        <w:rPr>
          <w:lang w:eastAsia="ru-RU"/>
        </w:rPr>
      </w:pPr>
    </w:p>
    <w:p w:rsidR="004A692C" w:rsidRPr="004A692C" w:rsidRDefault="004A692C" w:rsidP="004A692C">
      <w:pPr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C7A5A" w:rsidRDefault="002C7A5A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sz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lastRenderedPageBreak/>
        <w:t xml:space="preserve">2 ОЦЕНОЧНЫЕ (КОНТРОЛЬНО-ИЗМЕРИТЕЛЬНЫЕ) МАТЕРИАЛЫ </w:t>
      </w:r>
      <w:r w:rsidRPr="004A692C">
        <w:rPr>
          <w:rFonts w:eastAsia="Calibri"/>
          <w:b/>
          <w:sz w:val="28"/>
          <w:lang w:eastAsia="en-US"/>
        </w:rPr>
        <w:t xml:space="preserve">ДЛЯ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4A692C">
        <w:rPr>
          <w:rFonts w:eastAsia="Calibri"/>
          <w:b/>
          <w:sz w:val="28"/>
          <w:lang w:eastAsia="en-US"/>
        </w:rPr>
        <w:t>ПРОМЕЖУТОЧНОЙ АТТЕСТАЦИИ</w:t>
      </w:r>
    </w:p>
    <w:p w:rsidR="004A692C" w:rsidRPr="004A692C" w:rsidRDefault="004A692C" w:rsidP="004A692C">
      <w:pPr>
        <w:jc w:val="center"/>
        <w:rPr>
          <w:b/>
        </w:rPr>
      </w:pPr>
      <w:r w:rsidRPr="004A692C">
        <w:rPr>
          <w:b/>
        </w:rPr>
        <w:t>2.1 Оценочные (контрольно-измерительные) материалы для теоретического этапа</w:t>
      </w:r>
    </w:p>
    <w:p w:rsidR="004A692C" w:rsidRPr="004A692C" w:rsidRDefault="004A692C" w:rsidP="004A692C">
      <w:pPr>
        <w:jc w:val="center"/>
        <w:rPr>
          <w:b/>
        </w:rPr>
      </w:pPr>
      <w:r w:rsidRPr="004A692C">
        <w:rPr>
          <w:b/>
        </w:rPr>
        <w:t>промежуточной аттестации</w:t>
      </w:r>
    </w:p>
    <w:p w:rsidR="002C7A5A" w:rsidRDefault="002C7A5A" w:rsidP="004A692C">
      <w:pPr>
        <w:jc w:val="center"/>
        <w:rPr>
          <w:b/>
        </w:rPr>
      </w:pPr>
    </w:p>
    <w:p w:rsidR="004A692C" w:rsidRDefault="00DA6C43" w:rsidP="004A692C">
      <w:pPr>
        <w:jc w:val="center"/>
        <w:rPr>
          <w:b/>
          <w:sz w:val="28"/>
          <w:szCs w:val="28"/>
        </w:rPr>
      </w:pPr>
      <w:r>
        <w:rPr>
          <w:b/>
        </w:rPr>
        <w:t>В</w:t>
      </w:r>
      <w:r w:rsidR="004A692C" w:rsidRPr="004A692C">
        <w:rPr>
          <w:b/>
        </w:rPr>
        <w:t>опросы</w:t>
      </w:r>
      <w:r>
        <w:rPr>
          <w:b/>
        </w:rPr>
        <w:t xml:space="preserve"> для дифференцированного зачета</w:t>
      </w:r>
    </w:p>
    <w:p w:rsidR="004A692C" w:rsidRDefault="004A692C" w:rsidP="00D33FFC">
      <w:pPr>
        <w:jc w:val="center"/>
        <w:rPr>
          <w:b/>
          <w:sz w:val="28"/>
          <w:szCs w:val="28"/>
        </w:rPr>
      </w:pP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Политико-географические процессы, особенно характерные для разных периодов развития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Функции и признаки государства;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Типы стран по их форме;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Типология стран по уровню социально-экономического развития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Специфика межгосударственных конфликтов; </w:t>
      </w:r>
    </w:p>
    <w:p w:rsidR="00DA6C43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Фазы развития межгосударственного (международного) конфликта;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Трудовые ресурсы и занятость населения.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Воспроизводство населения и его типы.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Демографическая политика.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Половая и возрастная структура населения. Экономически активное и самодеятельное население.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Социальная структура общества.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Качество рабочей силы в различных странах мира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Размещение населения по территории земного шара. Средняя плотность населения в регионах и странах мира.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Миграции населения и их основные направления.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Масштабы и темпы урбанизации в различных регионах и странах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Европе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Южной Америке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Северной Америке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Африке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lastRenderedPageBreak/>
        <w:t>Особенности развития промышленности и металлургии в странах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Россия на политической карте мира.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Место России в мировом хозяйстве и международном географическом разделении труда.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Оценка современного геополитического и геоэкономического положения России.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Определение роли России и ее отдельных регионов в международном географическом разделении труда.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металлургии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полезных ископаемых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Миграции населения в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lastRenderedPageBreak/>
        <w:t>Масштабы и темпы урбанизации в различных регионах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Транспортный комплекс и его современная структура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Географические особенности развития различных видов транспорта в Российской Федерации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Крупнейшие торговые порты, вокзалы и аэропорты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Горнодобывающая промышленность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Сельское хозяйство Российской Федерации.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Особенности развития агропромышленного комплекса в разных регионах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География мирового растениеводства и животноводства в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Лесное хозяйство и лесозаготовка в Российской Федерации.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Трудовые ресурсы и занятость населения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Воспроизводство населения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Демографическая политика регионов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Половая и возрастная структура населения регионов в Российской Федерации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Социальная структура общества в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Качество рабочей силы в различных регионах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Размещение населения по территории в Российской Федерации. Средняя плотность населения в регионах</w:t>
      </w:r>
    </w:p>
    <w:p w:rsidR="002D7842" w:rsidRPr="00B508F9" w:rsidRDefault="008601FC" w:rsidP="00A02844">
      <w:pPr>
        <w:pStyle w:val="a3"/>
        <w:numPr>
          <w:ilvl w:val="0"/>
          <w:numId w:val="36"/>
        </w:numPr>
        <w:spacing w:line="360" w:lineRule="auto"/>
        <w:jc w:val="both"/>
      </w:pPr>
      <w:r w:rsidRPr="00B508F9">
        <w:rPr>
          <w:bCs/>
        </w:rPr>
        <w:t>Типология регионов в Российской Федерации по уровню социально-экономического развития</w:t>
      </w:r>
    </w:p>
    <w:p w:rsidR="002D7842" w:rsidRPr="008601FC" w:rsidRDefault="002D7842" w:rsidP="00904CB4">
      <w:pPr>
        <w:spacing w:line="360" w:lineRule="auto"/>
        <w:contextualSpacing/>
        <w:rPr>
          <w:b/>
          <w:highlight w:val="yellow"/>
        </w:rPr>
      </w:pPr>
    </w:p>
    <w:p w:rsidR="00904CB4" w:rsidRPr="008601FC" w:rsidRDefault="00904CB4" w:rsidP="00904CB4">
      <w:pPr>
        <w:spacing w:line="360" w:lineRule="auto"/>
        <w:contextualSpacing/>
        <w:rPr>
          <w:b/>
          <w:sz w:val="28"/>
          <w:highlight w:val="yellow"/>
        </w:rPr>
      </w:pPr>
    </w:p>
    <w:sectPr w:rsidR="00904CB4" w:rsidRPr="008601FC" w:rsidSect="004A692C">
      <w:footerReference w:type="default" r:id="rId8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70" w:rsidRDefault="00563770" w:rsidP="00904CB4">
      <w:r>
        <w:separator/>
      </w:r>
    </w:p>
  </w:endnote>
  <w:endnote w:type="continuationSeparator" w:id="0">
    <w:p w:rsidR="00563770" w:rsidRDefault="00563770" w:rsidP="0090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314"/>
      <w:docPartObj>
        <w:docPartGallery w:val="Page Numbers (Bottom of Page)"/>
        <w:docPartUnique/>
      </w:docPartObj>
    </w:sdtPr>
    <w:sdtEndPr/>
    <w:sdtContent>
      <w:p w:rsidR="00904CB4" w:rsidRDefault="005F7E7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3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04CB4" w:rsidRDefault="00904C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70" w:rsidRDefault="00563770" w:rsidP="00904CB4">
      <w:r>
        <w:separator/>
      </w:r>
    </w:p>
  </w:footnote>
  <w:footnote w:type="continuationSeparator" w:id="0">
    <w:p w:rsidR="00563770" w:rsidRDefault="00563770" w:rsidP="00904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7E6"/>
    <w:multiLevelType w:val="hybridMultilevel"/>
    <w:tmpl w:val="C3BA663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DD3C89"/>
    <w:multiLevelType w:val="hybridMultilevel"/>
    <w:tmpl w:val="2854A6AC"/>
    <w:lvl w:ilvl="0" w:tplc="B4328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5C9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BE3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AB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F0C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68E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3E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EEF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F0D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690235"/>
    <w:multiLevelType w:val="hybridMultilevel"/>
    <w:tmpl w:val="97308EF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57714F"/>
    <w:multiLevelType w:val="hybridMultilevel"/>
    <w:tmpl w:val="4202D9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F667E2"/>
    <w:multiLevelType w:val="hybridMultilevel"/>
    <w:tmpl w:val="3740DBB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326B48"/>
    <w:multiLevelType w:val="hybridMultilevel"/>
    <w:tmpl w:val="DDCC9D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061E70"/>
    <w:multiLevelType w:val="hybridMultilevel"/>
    <w:tmpl w:val="D58CEF7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32747E"/>
    <w:multiLevelType w:val="hybridMultilevel"/>
    <w:tmpl w:val="A8F2C59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A115A"/>
    <w:multiLevelType w:val="hybridMultilevel"/>
    <w:tmpl w:val="C7CEB36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714312"/>
    <w:multiLevelType w:val="hybridMultilevel"/>
    <w:tmpl w:val="24BA6910"/>
    <w:lvl w:ilvl="0" w:tplc="FAEAB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054C03"/>
    <w:multiLevelType w:val="hybridMultilevel"/>
    <w:tmpl w:val="A8C87D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B437040"/>
    <w:multiLevelType w:val="hybridMultilevel"/>
    <w:tmpl w:val="468E18E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5659BA"/>
    <w:multiLevelType w:val="hybridMultilevel"/>
    <w:tmpl w:val="1FC05C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EA66C6"/>
    <w:multiLevelType w:val="hybridMultilevel"/>
    <w:tmpl w:val="26748E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BB376D"/>
    <w:multiLevelType w:val="hybridMultilevel"/>
    <w:tmpl w:val="0B727D5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C35FC2"/>
    <w:multiLevelType w:val="hybridMultilevel"/>
    <w:tmpl w:val="DDCC9D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C63CB0"/>
    <w:multiLevelType w:val="hybridMultilevel"/>
    <w:tmpl w:val="C3BA663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D9070AC"/>
    <w:multiLevelType w:val="hybridMultilevel"/>
    <w:tmpl w:val="88A0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959C5"/>
    <w:multiLevelType w:val="hybridMultilevel"/>
    <w:tmpl w:val="68FC06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8A7D45"/>
    <w:multiLevelType w:val="multilevel"/>
    <w:tmpl w:val="48E85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C546BCD"/>
    <w:multiLevelType w:val="hybridMultilevel"/>
    <w:tmpl w:val="BE9E4A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0970643"/>
    <w:multiLevelType w:val="hybridMultilevel"/>
    <w:tmpl w:val="4202D9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053897"/>
    <w:multiLevelType w:val="hybridMultilevel"/>
    <w:tmpl w:val="949EF9B8"/>
    <w:lvl w:ilvl="0" w:tplc="A3B4B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D692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25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781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D44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0A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9ED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9A5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9C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822516E"/>
    <w:multiLevelType w:val="hybridMultilevel"/>
    <w:tmpl w:val="47B0AD1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8368AC"/>
    <w:multiLevelType w:val="hybridMultilevel"/>
    <w:tmpl w:val="A8F2C59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422C2D"/>
    <w:multiLevelType w:val="hybridMultilevel"/>
    <w:tmpl w:val="F30243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EB7778"/>
    <w:multiLevelType w:val="hybridMultilevel"/>
    <w:tmpl w:val="68FC06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297AB3"/>
    <w:multiLevelType w:val="multilevel"/>
    <w:tmpl w:val="98BCC83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8">
    <w:nsid w:val="6D5F1B71"/>
    <w:multiLevelType w:val="hybridMultilevel"/>
    <w:tmpl w:val="C7E6754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E0A5719"/>
    <w:multiLevelType w:val="hybridMultilevel"/>
    <w:tmpl w:val="97308EF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A45508"/>
    <w:multiLevelType w:val="hybridMultilevel"/>
    <w:tmpl w:val="47B0AD1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5B32F55"/>
    <w:multiLevelType w:val="hybridMultilevel"/>
    <w:tmpl w:val="0B727D5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5E15C5"/>
    <w:multiLevelType w:val="hybridMultilevel"/>
    <w:tmpl w:val="D58CEF7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8B3495F"/>
    <w:multiLevelType w:val="hybridMultilevel"/>
    <w:tmpl w:val="12E427B6"/>
    <w:lvl w:ilvl="0" w:tplc="BEF2D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B41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CE9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BA7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6A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4E4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49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A3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F0B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A962440"/>
    <w:multiLevelType w:val="hybridMultilevel"/>
    <w:tmpl w:val="C7CEB36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B472E2F"/>
    <w:multiLevelType w:val="hybridMultilevel"/>
    <w:tmpl w:val="09AED44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9"/>
  </w:num>
  <w:num w:numId="4">
    <w:abstractNumId w:val="20"/>
  </w:num>
  <w:num w:numId="5">
    <w:abstractNumId w:val="10"/>
  </w:num>
  <w:num w:numId="6">
    <w:abstractNumId w:val="28"/>
  </w:num>
  <w:num w:numId="7">
    <w:abstractNumId w:val="13"/>
  </w:num>
  <w:num w:numId="8">
    <w:abstractNumId w:val="25"/>
  </w:num>
  <w:num w:numId="9">
    <w:abstractNumId w:val="4"/>
  </w:num>
  <w:num w:numId="10">
    <w:abstractNumId w:val="35"/>
  </w:num>
  <w:num w:numId="11">
    <w:abstractNumId w:val="12"/>
  </w:num>
  <w:num w:numId="12">
    <w:abstractNumId w:val="11"/>
  </w:num>
  <w:num w:numId="13">
    <w:abstractNumId w:val="34"/>
  </w:num>
  <w:num w:numId="14">
    <w:abstractNumId w:val="3"/>
  </w:num>
  <w:num w:numId="15">
    <w:abstractNumId w:val="14"/>
  </w:num>
  <w:num w:numId="16">
    <w:abstractNumId w:val="32"/>
  </w:num>
  <w:num w:numId="17">
    <w:abstractNumId w:val="7"/>
  </w:num>
  <w:num w:numId="18">
    <w:abstractNumId w:val="2"/>
  </w:num>
  <w:num w:numId="19">
    <w:abstractNumId w:val="16"/>
  </w:num>
  <w:num w:numId="20">
    <w:abstractNumId w:val="18"/>
  </w:num>
  <w:num w:numId="21">
    <w:abstractNumId w:val="23"/>
  </w:num>
  <w:num w:numId="22">
    <w:abstractNumId w:val="15"/>
  </w:num>
  <w:num w:numId="23">
    <w:abstractNumId w:val="8"/>
  </w:num>
  <w:num w:numId="24">
    <w:abstractNumId w:val="21"/>
  </w:num>
  <w:num w:numId="25">
    <w:abstractNumId w:val="31"/>
  </w:num>
  <w:num w:numId="26">
    <w:abstractNumId w:val="5"/>
  </w:num>
  <w:num w:numId="27">
    <w:abstractNumId w:val="30"/>
  </w:num>
  <w:num w:numId="28">
    <w:abstractNumId w:val="26"/>
  </w:num>
  <w:num w:numId="29">
    <w:abstractNumId w:val="0"/>
  </w:num>
  <w:num w:numId="30">
    <w:abstractNumId w:val="24"/>
  </w:num>
  <w:num w:numId="31">
    <w:abstractNumId w:val="29"/>
  </w:num>
  <w:num w:numId="32">
    <w:abstractNumId w:val="6"/>
  </w:num>
  <w:num w:numId="33">
    <w:abstractNumId w:val="22"/>
  </w:num>
  <w:num w:numId="34">
    <w:abstractNumId w:val="1"/>
  </w:num>
  <w:num w:numId="35">
    <w:abstractNumId w:val="33"/>
  </w:num>
  <w:num w:numId="36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AC"/>
    <w:rsid w:val="00043740"/>
    <w:rsid w:val="000730F2"/>
    <w:rsid w:val="00086438"/>
    <w:rsid w:val="000A1148"/>
    <w:rsid w:val="000D508F"/>
    <w:rsid w:val="000F4E89"/>
    <w:rsid w:val="0012091B"/>
    <w:rsid w:val="001576BD"/>
    <w:rsid w:val="001B1088"/>
    <w:rsid w:val="001B4939"/>
    <w:rsid w:val="001C2114"/>
    <w:rsid w:val="001C59D5"/>
    <w:rsid w:val="0020247E"/>
    <w:rsid w:val="002A5127"/>
    <w:rsid w:val="002C7A5A"/>
    <w:rsid w:val="002D7842"/>
    <w:rsid w:val="002E2D99"/>
    <w:rsid w:val="002F3D87"/>
    <w:rsid w:val="002F4F0F"/>
    <w:rsid w:val="002F7C41"/>
    <w:rsid w:val="00304B10"/>
    <w:rsid w:val="00321950"/>
    <w:rsid w:val="0033559B"/>
    <w:rsid w:val="00337A3E"/>
    <w:rsid w:val="00377F16"/>
    <w:rsid w:val="00381623"/>
    <w:rsid w:val="003D51ED"/>
    <w:rsid w:val="003E6E95"/>
    <w:rsid w:val="00420FAF"/>
    <w:rsid w:val="00442B7A"/>
    <w:rsid w:val="0048119C"/>
    <w:rsid w:val="004A5BDB"/>
    <w:rsid w:val="004A692C"/>
    <w:rsid w:val="004B2666"/>
    <w:rsid w:val="005022B3"/>
    <w:rsid w:val="00505E4F"/>
    <w:rsid w:val="005113AB"/>
    <w:rsid w:val="00525388"/>
    <w:rsid w:val="00527ED1"/>
    <w:rsid w:val="00563770"/>
    <w:rsid w:val="00581A09"/>
    <w:rsid w:val="00587729"/>
    <w:rsid w:val="005B4C54"/>
    <w:rsid w:val="005B5D5E"/>
    <w:rsid w:val="005C0BA4"/>
    <w:rsid w:val="005C7062"/>
    <w:rsid w:val="005E3D41"/>
    <w:rsid w:val="005F7E7D"/>
    <w:rsid w:val="006218A8"/>
    <w:rsid w:val="00640112"/>
    <w:rsid w:val="006533BE"/>
    <w:rsid w:val="006A46A9"/>
    <w:rsid w:val="006E695F"/>
    <w:rsid w:val="006E6C61"/>
    <w:rsid w:val="007448AB"/>
    <w:rsid w:val="007467FA"/>
    <w:rsid w:val="0076152C"/>
    <w:rsid w:val="007618DB"/>
    <w:rsid w:val="00764305"/>
    <w:rsid w:val="0077582E"/>
    <w:rsid w:val="00816577"/>
    <w:rsid w:val="008601FC"/>
    <w:rsid w:val="008610C3"/>
    <w:rsid w:val="00870DC6"/>
    <w:rsid w:val="00880C40"/>
    <w:rsid w:val="008D0E12"/>
    <w:rsid w:val="009020BE"/>
    <w:rsid w:val="00904CB4"/>
    <w:rsid w:val="00910D65"/>
    <w:rsid w:val="00910E03"/>
    <w:rsid w:val="00912CC3"/>
    <w:rsid w:val="009245AD"/>
    <w:rsid w:val="00987DC5"/>
    <w:rsid w:val="009935A5"/>
    <w:rsid w:val="009C5B48"/>
    <w:rsid w:val="00A02844"/>
    <w:rsid w:val="00A13ABC"/>
    <w:rsid w:val="00A61F21"/>
    <w:rsid w:val="00A854CE"/>
    <w:rsid w:val="00AA6B5D"/>
    <w:rsid w:val="00AD3086"/>
    <w:rsid w:val="00AD4561"/>
    <w:rsid w:val="00AE45AC"/>
    <w:rsid w:val="00B077D6"/>
    <w:rsid w:val="00B10634"/>
    <w:rsid w:val="00B21309"/>
    <w:rsid w:val="00B508F9"/>
    <w:rsid w:val="00B55AB4"/>
    <w:rsid w:val="00B624A2"/>
    <w:rsid w:val="00B914A5"/>
    <w:rsid w:val="00BD61B3"/>
    <w:rsid w:val="00BE2005"/>
    <w:rsid w:val="00C16049"/>
    <w:rsid w:val="00C208B8"/>
    <w:rsid w:val="00C22116"/>
    <w:rsid w:val="00C41328"/>
    <w:rsid w:val="00D031B4"/>
    <w:rsid w:val="00D061E7"/>
    <w:rsid w:val="00D33DE2"/>
    <w:rsid w:val="00D33FFC"/>
    <w:rsid w:val="00D45CD8"/>
    <w:rsid w:val="00D704FE"/>
    <w:rsid w:val="00D711B4"/>
    <w:rsid w:val="00DA376D"/>
    <w:rsid w:val="00DA3895"/>
    <w:rsid w:val="00DA4AA9"/>
    <w:rsid w:val="00DA6C43"/>
    <w:rsid w:val="00DB14AE"/>
    <w:rsid w:val="00E3122E"/>
    <w:rsid w:val="00E920D9"/>
    <w:rsid w:val="00EB46A9"/>
    <w:rsid w:val="00EC07EF"/>
    <w:rsid w:val="00EC420B"/>
    <w:rsid w:val="00ED6960"/>
    <w:rsid w:val="00EE108B"/>
    <w:rsid w:val="00F128A3"/>
    <w:rsid w:val="00F412E6"/>
    <w:rsid w:val="00F4140C"/>
    <w:rsid w:val="00F62B54"/>
    <w:rsid w:val="00F81181"/>
    <w:rsid w:val="00F8322B"/>
    <w:rsid w:val="00F9352A"/>
    <w:rsid w:val="00FC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D78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D78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84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2D78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D7842"/>
    <w:pPr>
      <w:ind w:left="720"/>
      <w:contextualSpacing/>
    </w:pPr>
  </w:style>
  <w:style w:type="paragraph" w:styleId="a4">
    <w:name w:val="Normal (Web)"/>
    <w:basedOn w:val="a"/>
    <w:unhideWhenUsed/>
    <w:rsid w:val="004A5BDB"/>
    <w:pPr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39"/>
    <w:rsid w:val="00D45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27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4C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904C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D78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D78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84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2D78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D7842"/>
    <w:pPr>
      <w:ind w:left="720"/>
      <w:contextualSpacing/>
    </w:pPr>
  </w:style>
  <w:style w:type="paragraph" w:styleId="a4">
    <w:name w:val="Normal (Web)"/>
    <w:basedOn w:val="a"/>
    <w:unhideWhenUsed/>
    <w:rsid w:val="004A5BDB"/>
    <w:pPr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39"/>
    <w:rsid w:val="00D45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27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4C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904C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3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2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87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6</cp:revision>
  <cp:lastPrinted>2016-11-18T06:35:00Z</cp:lastPrinted>
  <dcterms:created xsi:type="dcterms:W3CDTF">2024-06-24T08:33:00Z</dcterms:created>
  <dcterms:modified xsi:type="dcterms:W3CDTF">2024-07-09T08:38:00Z</dcterms:modified>
</cp:coreProperties>
</file>