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3D141B">
        <w:rPr>
          <w:rFonts w:ascii="Times New Roman" w:hAnsi="Times New Roman"/>
          <w:b/>
          <w:caps/>
          <w:sz w:val="28"/>
          <w:szCs w:val="28"/>
        </w:rPr>
        <w:t>11 Физика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9E4A2F">
        <w:rPr>
          <w:rFonts w:ascii="Times New Roman" w:hAnsi="Times New Roman"/>
        </w:rPr>
        <w:t>4</w:t>
      </w:r>
      <w:bookmarkStart w:id="0" w:name="_GoBack"/>
      <w:bookmarkEnd w:id="0"/>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021B85">
            <w:pPr>
              <w:spacing w:line="360" w:lineRule="auto"/>
              <w:jc w:val="center"/>
              <w:rPr>
                <w:rFonts w:ascii="Times New Roman" w:eastAsia="Calibri" w:hAnsi="Times New Roman"/>
              </w:rPr>
            </w:pPr>
            <w:r>
              <w:rPr>
                <w:rFonts w:ascii="Times New Roman" w:eastAsia="Calibri" w:hAnsi="Times New Roman"/>
              </w:rPr>
              <w:t>1</w:t>
            </w:r>
            <w:r w:rsidR="00021B85">
              <w:rPr>
                <w:rFonts w:ascii="Times New Roman" w:eastAsia="Calibri" w:hAnsi="Times New Roman"/>
              </w:rPr>
              <w:t>3</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BF662F">
        <w:rPr>
          <w:rFonts w:ascii="Times New Roman" w:hAnsi="Times New Roman"/>
        </w:rPr>
        <w:t>Физика</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41"/>
        <w:tblW w:w="0" w:type="auto"/>
        <w:tblLook w:val="04A0" w:firstRow="1" w:lastRow="0" w:firstColumn="1" w:lastColumn="0" w:noHBand="0" w:noVBand="1"/>
      </w:tblPr>
      <w:tblGrid>
        <w:gridCol w:w="3115"/>
        <w:gridCol w:w="3115"/>
        <w:gridCol w:w="3115"/>
      </w:tblGrid>
      <w:tr w:rsidR="00BF662F" w:rsidRPr="00BF662F" w:rsidTr="008A71CC">
        <w:tc>
          <w:tcPr>
            <w:tcW w:w="3115" w:type="dxa"/>
            <w:vMerge w:val="restart"/>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Код и наименование формируемых компетенций</w:t>
            </w:r>
          </w:p>
        </w:tc>
        <w:tc>
          <w:tcPr>
            <w:tcW w:w="6230" w:type="dxa"/>
            <w:gridSpan w:val="2"/>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Планируемые результаты</w:t>
            </w:r>
          </w:p>
        </w:tc>
      </w:tr>
      <w:tr w:rsidR="00BF662F" w:rsidRPr="00BF662F" w:rsidTr="008A71CC">
        <w:tc>
          <w:tcPr>
            <w:tcW w:w="3115" w:type="dxa"/>
            <w:vMerge/>
            <w:tcBorders>
              <w:bottom w:val="single" w:sz="4" w:space="0" w:color="auto"/>
            </w:tcBorders>
          </w:tcPr>
          <w:p w:rsidR="00BF662F" w:rsidRPr="00BF662F" w:rsidRDefault="00BF662F" w:rsidP="00BF662F">
            <w:pPr>
              <w:jc w:val="center"/>
              <w:rPr>
                <w:rFonts w:ascii="Times New Roman" w:hAnsi="Times New Roman"/>
                <w:b/>
                <w:sz w:val="24"/>
                <w:szCs w:val="24"/>
                <w:lang w:eastAsia="ru-RU"/>
              </w:rPr>
            </w:pPr>
          </w:p>
        </w:tc>
        <w:tc>
          <w:tcPr>
            <w:tcW w:w="3115" w:type="dxa"/>
            <w:tcBorders>
              <w:bottom w:val="single" w:sz="4" w:space="0" w:color="auto"/>
            </w:tcBorders>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Общие</w:t>
            </w:r>
          </w:p>
        </w:tc>
        <w:tc>
          <w:tcPr>
            <w:tcW w:w="3115" w:type="dxa"/>
            <w:tcBorders>
              <w:bottom w:val="single" w:sz="4" w:space="0" w:color="auto"/>
            </w:tcBorders>
          </w:tcPr>
          <w:p w:rsidR="00BF662F" w:rsidRPr="00BF662F" w:rsidRDefault="00BF662F" w:rsidP="00BF662F">
            <w:pPr>
              <w:jc w:val="center"/>
              <w:rPr>
                <w:rFonts w:ascii="Times New Roman" w:hAnsi="Times New Roman"/>
                <w:b/>
                <w:sz w:val="24"/>
                <w:szCs w:val="24"/>
                <w:lang w:eastAsia="ru-RU"/>
              </w:rPr>
            </w:pPr>
            <w:r w:rsidRPr="00BF662F">
              <w:rPr>
                <w:rFonts w:ascii="Times New Roman" w:hAnsi="Times New Roman"/>
                <w:b/>
                <w:sz w:val="24"/>
                <w:szCs w:val="24"/>
                <w:lang w:eastAsia="ru-RU"/>
              </w:rPr>
              <w:t>Дисциплинарные</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sz w:val="24"/>
                <w:szCs w:val="24"/>
                <w:lang w:eastAsia="ru-RU"/>
              </w:rPr>
            </w:pPr>
            <w:proofErr w:type="gramStart"/>
            <w:r w:rsidRPr="00BF662F">
              <w:rPr>
                <w:rFonts w:ascii="Times New Roman" w:hAnsi="Times New Roman"/>
                <w:bCs/>
                <w:sz w:val="24"/>
                <w:szCs w:val="24"/>
                <w:lang w:eastAsia="ru-RU"/>
              </w:rPr>
              <w:t>ОК</w:t>
            </w:r>
            <w:proofErr w:type="gramEnd"/>
            <w:r w:rsidRPr="00BF662F">
              <w:rPr>
                <w:rFonts w:ascii="Times New Roman" w:hAnsi="Times New Roman"/>
                <w:bCs/>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3115" w:type="dxa"/>
            <w:shd w:val="clear" w:color="auto" w:fill="auto"/>
          </w:tcPr>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В части трудового воспитания: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готовность к труду, осознание ценности мастерства, трудолюбие;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интерес к различным сферам профессиональной деятельности,</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Овладение универсальными учебными познавательными действиями:</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а) базовые логические действия: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самостоятельно формулировать и актуализировать проблему, рассматривать ее всесторонне;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устанавливать существенный признак или основания для сравнения, классификации и обобщения;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определять цели деятельности, задавать параметры и критерии их достижения;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выявлять закономерности и противоречия в рассматриваемых явлениях;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вносить коррективы в </w:t>
            </w:r>
            <w:r w:rsidRPr="00BF662F">
              <w:rPr>
                <w:rFonts w:ascii="Times New Roman" w:hAnsi="Times New Roman"/>
                <w:bCs/>
                <w:sz w:val="24"/>
                <w:szCs w:val="24"/>
                <w:lang w:eastAsia="ru-RU"/>
              </w:rPr>
              <w:lastRenderedPageBreak/>
              <w:t xml:space="preserve">деятельность, оценивать соответствие результатов целям, оценивать риски последствий деятельности;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развивать креативное мышление при решении жизненных проблем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б) базовые исследовательские действия:</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владеть навыками учебно-исследовательской и проектной деятельности, навыками разрешения проблем;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уметь переносить знания в познавательную и практическую области жизнедеятельности;</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уметь интегрировать знания из разных предметных областей;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выдвигать новые идеи, предлагать оригинальные подходы и решения; </w:t>
            </w:r>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способность их использования в познавательной и социальной практике</w:t>
            </w:r>
          </w:p>
        </w:tc>
        <w:tc>
          <w:tcPr>
            <w:tcW w:w="3115" w:type="dxa"/>
            <w:shd w:val="clear" w:color="auto" w:fill="auto"/>
          </w:tcPr>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lastRenderedPageBreak/>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BF662F">
              <w:rPr>
                <w:rFonts w:ascii="Times New Roman" w:hAnsi="Times New Roman"/>
                <w:bCs/>
                <w:sz w:val="24"/>
                <w:szCs w:val="24"/>
                <w:lang w:eastAsia="ru-RU"/>
              </w:rPr>
              <w:t>мегамира</w:t>
            </w:r>
            <w:proofErr w:type="spellEnd"/>
            <w:r w:rsidRPr="00BF662F">
              <w:rPr>
                <w:rFonts w:ascii="Times New Roman" w:hAnsi="Times New Roman"/>
                <w:bCs/>
                <w:sz w:val="24"/>
                <w:szCs w:val="24"/>
                <w:lang w:eastAsia="ru-RU"/>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BF662F" w:rsidRPr="00BF662F" w:rsidRDefault="00BF662F" w:rsidP="00BF662F">
            <w:pPr>
              <w:jc w:val="both"/>
              <w:rPr>
                <w:rFonts w:ascii="Times New Roman" w:hAnsi="Times New Roman"/>
                <w:bCs/>
                <w:sz w:val="24"/>
                <w:szCs w:val="24"/>
                <w:lang w:eastAsia="ru-RU"/>
              </w:rPr>
            </w:pPr>
            <w:proofErr w:type="gramStart"/>
            <w:r w:rsidRPr="00BF662F">
              <w:rPr>
                <w:rFonts w:ascii="Times New Roman" w:hAnsi="Times New Roman"/>
                <w:bCs/>
                <w:sz w:val="24"/>
                <w:szCs w:val="24"/>
                <w:lang w:eastAsia="ru-RU"/>
              </w:rPr>
              <w:t xml:space="preserve">-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w:t>
            </w:r>
            <w:r w:rsidRPr="00BF662F">
              <w:rPr>
                <w:rFonts w:ascii="Times New Roman" w:hAnsi="Times New Roman"/>
                <w:bCs/>
                <w:sz w:val="24"/>
                <w:szCs w:val="24"/>
                <w:lang w:eastAsia="ru-RU"/>
              </w:rPr>
              <w:lastRenderedPageBreak/>
              <w:t>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BF662F">
              <w:rPr>
                <w:rFonts w:ascii="Times New Roman" w:hAnsi="Times New Roman"/>
                <w:bCs/>
                <w:sz w:val="24"/>
                <w:szCs w:val="24"/>
                <w:lang w:eastAsia="ru-RU"/>
              </w:rPr>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rsidR="00BF662F" w:rsidRPr="00BF662F" w:rsidRDefault="00BF662F" w:rsidP="00BF662F">
            <w:pPr>
              <w:jc w:val="both"/>
              <w:rPr>
                <w:rFonts w:ascii="Times New Roman" w:hAnsi="Times New Roman"/>
                <w:bCs/>
                <w:sz w:val="24"/>
                <w:szCs w:val="24"/>
                <w:lang w:eastAsia="ru-RU"/>
              </w:rPr>
            </w:pPr>
            <w:r w:rsidRPr="00BF662F">
              <w:rPr>
                <w:rFonts w:ascii="Times New Roman" w:hAnsi="Times New Roman"/>
                <w:bCs/>
                <w:sz w:val="24"/>
                <w:szCs w:val="24"/>
                <w:lang w:eastAsia="ru-RU"/>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w:t>
            </w:r>
            <w:r w:rsidRPr="00BF662F">
              <w:rPr>
                <w:rFonts w:ascii="Times New Roman" w:hAnsi="Times New Roman"/>
                <w:bCs/>
                <w:sz w:val="24"/>
                <w:szCs w:val="24"/>
                <w:lang w:eastAsia="ru-RU"/>
              </w:rPr>
              <w:lastRenderedPageBreak/>
              <w:t xml:space="preserve">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BF662F">
              <w:rPr>
                <w:rFonts w:ascii="Times New Roman" w:hAnsi="Times New Roman"/>
                <w:bCs/>
                <w:sz w:val="24"/>
                <w:szCs w:val="24"/>
                <w:lang w:eastAsia="ru-RU"/>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BF662F">
              <w:rPr>
                <w:rFonts w:ascii="Times New Roman" w:hAnsi="Times New Roman"/>
                <w:bCs/>
                <w:sz w:val="24"/>
                <w:szCs w:val="24"/>
                <w:lang w:eastAsia="ru-RU"/>
              </w:rPr>
              <w:t xml:space="preserve"> уверенное использование законов и закономерностей при анализе физических явлений и процессов</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ценности научного познания: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осознание ценности научной деятельности, </w:t>
            </w:r>
            <w:r w:rsidRPr="00BF662F">
              <w:rPr>
                <w:rFonts w:ascii="Times New Roman" w:hAnsi="Times New Roman"/>
                <w:bCs/>
                <w:color w:val="000000"/>
                <w:sz w:val="24"/>
                <w:szCs w:val="24"/>
                <w:lang w:eastAsia="ru-RU"/>
              </w:rPr>
              <w:lastRenderedPageBreak/>
              <w:t>готовность осуществлять проектную и исследовательскую деятельность индивидуально и в группе;</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учебными познавательными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работа с информацией: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оценивать достоверность, легитимность информации, ее соответствие правовым и морально-этическим нормам;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владеть навыками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распознавания и защиты информации, информационной безопасности личности</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t xml:space="preserve">- уметь формировать собственную позицию по отношению к физической информации, получаемой из разных источников, умений использовать </w:t>
            </w:r>
            <w:r w:rsidRPr="00BF662F">
              <w:rPr>
                <w:rFonts w:ascii="Times New Roman" w:hAnsi="Times New Roman"/>
                <w:bCs/>
                <w:color w:val="000000"/>
                <w:sz w:val="24"/>
                <w:szCs w:val="24"/>
                <w:lang w:eastAsia="ru-RU"/>
              </w:rPr>
              <w:lastRenderedPageBreak/>
              <w:t>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духовно-нравственного воспитания: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нравственного сознания, этического поведения;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осознание личного вклада в построение устойчивого будущего;</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регулятивными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а) самоорганизация: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давать оценку новым ситуациям;</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способствовать формированию и проявлению широкой эрудиции в разных областях знаний, постоянно повышать свой образовательный и </w:t>
            </w:r>
            <w:r w:rsidRPr="00BF662F">
              <w:rPr>
                <w:rFonts w:ascii="Times New Roman" w:hAnsi="Times New Roman"/>
                <w:bCs/>
                <w:color w:val="000000"/>
                <w:sz w:val="24"/>
                <w:szCs w:val="24"/>
                <w:lang w:eastAsia="ru-RU"/>
              </w:rPr>
              <w:lastRenderedPageBreak/>
              <w:t>культурный уровень;</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б) самоконтроль:</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использовать приемы рефлексии для оценки ситуации, выбора верного решения;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уметь оценивать риски и своевременно принимать решения по их снижению;</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в) эмоциональный интеллект, предполагающий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эмпатии</w:t>
            </w:r>
            <w:proofErr w:type="spellEnd"/>
            <w:r w:rsidRPr="00BF662F">
              <w:rPr>
                <w:rFonts w:ascii="Times New Roman" w:hAnsi="Times New Roman"/>
                <w:bCs/>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представлений о методах получения научных астрономических знаний;</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04. Эффективно взаимодействовать и работать в коллективе и команде</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готовность и способность к образованию и саморазвитию, самостоятельности и самоопределению;</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навыками учебно-исследовательской, проектной и социальной деятельности;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коммуникативными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б) совместная деятельность:</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понимать и использовать преимущества командной и индивидуальной работы;</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принимать цели </w:t>
            </w:r>
            <w:r w:rsidRPr="00BF662F">
              <w:rPr>
                <w:rFonts w:ascii="Times New Roman" w:hAnsi="Times New Roman"/>
                <w:bCs/>
                <w:color w:val="000000"/>
                <w:sz w:val="24"/>
                <w:szCs w:val="24"/>
                <w:lang w:eastAsia="ru-RU"/>
              </w:rPr>
              <w:lastRenderedPageBreak/>
              <w:t>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регулятивными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г) принятие себя и других людей:</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принимать мотивы и аргументы других людей при анализе результатов деятельности;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признавать свое право и право других людей на ошибки;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развивать способность понимать мир с позиции другого человека</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эстетического воспитания: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эстетическое отношение к миру, включая эстетику научного творчества, присущего физической науке;</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убежденность в значимости для личности и </w:t>
            </w:r>
            <w:r w:rsidRPr="00BF662F">
              <w:rPr>
                <w:rFonts w:ascii="Times New Roman" w:hAnsi="Times New Roman"/>
                <w:bCs/>
                <w:color w:val="000000"/>
                <w:sz w:val="24"/>
                <w:szCs w:val="24"/>
                <w:lang w:eastAsia="ru-RU"/>
              </w:rPr>
              <w:lastRenderedPageBreak/>
              <w:t>общества отечественного и мирового искусства, этнических культурных традиций и народного творчества;</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готовность к самовыражению в разных видах искусства, стремление проявлять качества творческой личности;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Овладение универсальными коммуникативными действиями: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а) общение:</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осуществлять коммуникации во всех сферах жизни;</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развернуто и логично излагать свою точку зрения с использованием языковых средств</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w:t>
            </w:r>
            <w:r w:rsidRPr="00BF662F">
              <w:rPr>
                <w:rFonts w:ascii="Times New Roman" w:hAnsi="Times New Roman"/>
                <w:bCs/>
                <w:color w:val="000000"/>
                <w:sz w:val="24"/>
                <w:szCs w:val="24"/>
                <w:lang w:eastAsia="ru-RU"/>
              </w:rPr>
              <w:lastRenderedPageBreak/>
              <w:t xml:space="preserve">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BF662F">
              <w:rPr>
                <w:rFonts w:ascii="Times New Roman" w:hAnsi="Times New Roman"/>
                <w:bCs/>
                <w:color w:val="000000"/>
                <w:sz w:val="24"/>
                <w:szCs w:val="24"/>
                <w:lang w:eastAsia="ru-RU"/>
              </w:rPr>
              <w:t>изопроцессах</w:t>
            </w:r>
            <w:proofErr w:type="spellEnd"/>
            <w:r w:rsidRPr="00BF662F">
              <w:rPr>
                <w:rFonts w:ascii="Times New Roman" w:hAnsi="Times New Roman"/>
                <w:bCs/>
                <w:color w:val="000000"/>
                <w:sz w:val="24"/>
                <w:szCs w:val="24"/>
                <w:lang w:eastAsia="ru-RU"/>
              </w:rPr>
              <w:t xml:space="preserve">; </w:t>
            </w:r>
            <w:proofErr w:type="gramStart"/>
            <w:r w:rsidRPr="00BF662F">
              <w:rPr>
                <w:rFonts w:ascii="Times New Roman" w:hAnsi="Times New Roman"/>
                <w:bCs/>
                <w:color w:val="000000"/>
                <w:sz w:val="24"/>
                <w:szCs w:val="24"/>
                <w:lang w:eastAsia="ru-RU"/>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BF662F" w:rsidRPr="00BF662F" w:rsidTr="008A71C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ОК</w:t>
            </w:r>
            <w:proofErr w:type="gramEnd"/>
            <w:r w:rsidRPr="00BF662F">
              <w:rPr>
                <w:rFonts w:ascii="Times New Roman" w:hAnsi="Times New Roman"/>
                <w:bCs/>
                <w:color w:val="000000"/>
                <w:sz w:val="24"/>
                <w:szCs w:val="24"/>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В области экологического воспитания:</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w:t>
            </w:r>
            <w:proofErr w:type="spellStart"/>
            <w:r w:rsidRPr="00BF662F">
              <w:rPr>
                <w:rFonts w:ascii="Times New Roman" w:hAnsi="Times New Roman"/>
                <w:bCs/>
                <w:color w:val="000000"/>
                <w:sz w:val="24"/>
                <w:szCs w:val="24"/>
                <w:lang w:eastAsia="ru-RU"/>
              </w:rPr>
              <w:t>сформированность</w:t>
            </w:r>
            <w:proofErr w:type="spellEnd"/>
            <w:r w:rsidRPr="00BF662F">
              <w:rPr>
                <w:rFonts w:ascii="Times New Roman" w:hAnsi="Times New Roman"/>
                <w:bCs/>
                <w:color w:val="000000"/>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lastRenderedPageBreak/>
              <w:t xml:space="preserve">- планирование и осуществление действий в окружающей среде на основе знания целей устойчивого развития человечества;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активное неприятие действий, приносящих вред окружающей среде;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xml:space="preserve">- умение прогнозировать неблагоприятные экологические последствия предпринимаемых действий, предотвращать их; </w:t>
            </w:r>
          </w:p>
          <w:p w:rsidR="00BF662F" w:rsidRPr="00BF662F" w:rsidRDefault="00BF662F" w:rsidP="00BF662F">
            <w:pPr>
              <w:jc w:val="both"/>
              <w:rPr>
                <w:rFonts w:ascii="Times New Roman" w:hAnsi="Times New Roman"/>
                <w:bCs/>
                <w:color w:val="000000"/>
                <w:sz w:val="24"/>
                <w:szCs w:val="24"/>
                <w:lang w:eastAsia="ru-RU"/>
              </w:rPr>
            </w:pPr>
            <w:r w:rsidRPr="00BF662F">
              <w:rPr>
                <w:rFonts w:ascii="Times New Roman" w:hAnsi="Times New Roman"/>
                <w:bCs/>
                <w:color w:val="000000"/>
                <w:sz w:val="24"/>
                <w:szCs w:val="24"/>
                <w:lang w:eastAsia="ru-RU"/>
              </w:rPr>
              <w:t>- расширение опыта деятельности экологической направленности на основе знаний по физике</w:t>
            </w:r>
          </w:p>
        </w:tc>
        <w:tc>
          <w:tcPr>
            <w:tcW w:w="3115" w:type="dxa"/>
            <w:shd w:val="clear" w:color="auto" w:fill="auto"/>
          </w:tcPr>
          <w:p w:rsidR="00BF662F" w:rsidRPr="00BF662F" w:rsidRDefault="00BF662F" w:rsidP="00BF662F">
            <w:pPr>
              <w:jc w:val="both"/>
              <w:rPr>
                <w:rFonts w:ascii="Times New Roman" w:hAnsi="Times New Roman"/>
                <w:bCs/>
                <w:color w:val="000000"/>
                <w:sz w:val="24"/>
                <w:szCs w:val="24"/>
                <w:lang w:eastAsia="ru-RU"/>
              </w:rPr>
            </w:pPr>
            <w:proofErr w:type="gramStart"/>
            <w:r w:rsidRPr="00BF662F">
              <w:rPr>
                <w:rFonts w:ascii="Times New Roman" w:hAnsi="Times New Roman"/>
                <w:bCs/>
                <w:color w:val="000000"/>
                <w:sz w:val="24"/>
                <w:szCs w:val="24"/>
                <w:lang w:eastAsia="ru-RU"/>
              </w:rPr>
              <w:lastRenderedPageBreak/>
              <w:t xml:space="preserve">-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w:t>
            </w:r>
            <w:r w:rsidRPr="00BF662F">
              <w:rPr>
                <w:rFonts w:ascii="Times New Roman" w:hAnsi="Times New Roman"/>
                <w:bCs/>
                <w:color w:val="000000"/>
                <w:sz w:val="24"/>
                <w:szCs w:val="24"/>
                <w:lang w:eastAsia="ru-RU"/>
              </w:rPr>
              <w:lastRenderedPageBreak/>
              <w:t>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rsidR="0031747E" w:rsidRPr="00BF662F" w:rsidRDefault="0031747E"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sidRPr="00BF662F">
        <w:rPr>
          <w:rFonts w:ascii="Liberation Serif" w:eastAsia="NSimSun" w:hAnsi="Liberation Serif" w:cs="Arial"/>
          <w:kern w:val="3"/>
          <w:lang w:eastAsia="zh-CN" w:bidi="hi-IN"/>
        </w:rPr>
        <w:t>Оценка освоения учебн</w:t>
      </w:r>
      <w:r w:rsidR="002172E9" w:rsidRPr="00BF662F">
        <w:rPr>
          <w:rFonts w:ascii="Liberation Serif" w:eastAsia="NSimSun" w:hAnsi="Liberation Serif" w:cs="Arial"/>
          <w:kern w:val="3"/>
          <w:lang w:eastAsia="zh-CN" w:bidi="hi-IN"/>
        </w:rPr>
        <w:t>ой</w:t>
      </w:r>
      <w:r w:rsidRPr="00BF662F">
        <w:rPr>
          <w:rFonts w:ascii="Liberation Serif" w:eastAsia="NSimSun" w:hAnsi="Liberation Serif" w:cs="Arial"/>
          <w:kern w:val="3"/>
          <w:lang w:eastAsia="zh-CN" w:bidi="hi-IN"/>
        </w:rPr>
        <w:t xml:space="preserve"> дисциплин</w:t>
      </w:r>
      <w:r w:rsidR="002172E9" w:rsidRPr="00BF662F">
        <w:rPr>
          <w:rFonts w:ascii="Liberation Serif" w:eastAsia="NSimSun" w:hAnsi="Liberation Serif" w:cs="Arial"/>
          <w:kern w:val="3"/>
          <w:lang w:eastAsia="zh-CN" w:bidi="hi-IN"/>
        </w:rPr>
        <w:t>ы</w:t>
      </w:r>
      <w:r w:rsidRPr="00BF662F">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BF662F" w:rsidRDefault="002172E9" w:rsidP="002172E9">
      <w:pPr>
        <w:spacing w:line="360" w:lineRule="auto"/>
        <w:jc w:val="both"/>
        <w:rPr>
          <w:rFonts w:ascii="Times New Roman" w:hAnsi="Times New Roman"/>
          <w:lang w:eastAsia="ar-SA"/>
        </w:rPr>
      </w:pPr>
      <w:r w:rsidRPr="00BF662F">
        <w:rPr>
          <w:rFonts w:ascii="Times New Roman" w:hAnsi="Times New Roman"/>
          <w:lang w:eastAsia="ar-SA"/>
        </w:rPr>
        <w:t xml:space="preserve">Оценка «3»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w:t>
      </w:r>
      <w:r w:rsidRPr="00BF662F">
        <w:rPr>
          <w:rFonts w:ascii="Times New Roman" w:hAnsi="Times New Roman"/>
          <w:lang w:eastAsia="ar-SA"/>
        </w:rPr>
        <w:lastRenderedPageBreak/>
        <w:t xml:space="preserve">использованием алгоритма, но затрудняется решать задачи, если это требует усложнения работы; </w:t>
      </w:r>
      <w:proofErr w:type="gramStart"/>
      <w:r w:rsidRPr="00BF662F">
        <w:rPr>
          <w:rFonts w:ascii="Times New Roman" w:hAnsi="Times New Roman"/>
          <w:lang w:eastAsia="ar-SA"/>
        </w:rPr>
        <w:t>допустил не более одной</w:t>
      </w:r>
      <w:proofErr w:type="gramEnd"/>
      <w:r w:rsidRPr="00BF662F">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BF662F">
        <w:rPr>
          <w:rFonts w:ascii="Times New Roman" w:hAnsi="Times New Roman"/>
          <w:lang w:eastAsia="ar-SA"/>
        </w:rPr>
        <w:t xml:space="preserve">Оценка «2» ставится, если </w:t>
      </w:r>
      <w:proofErr w:type="gramStart"/>
      <w:r w:rsidRPr="00BF662F">
        <w:rPr>
          <w:rFonts w:ascii="Times New Roman" w:hAnsi="Times New Roman"/>
          <w:lang w:eastAsia="ar-SA"/>
        </w:rPr>
        <w:t>отвечающий</w:t>
      </w:r>
      <w:proofErr w:type="gramEnd"/>
      <w:r w:rsidRPr="00BF662F">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BF662F" w:rsidRDefault="009726BA" w:rsidP="003F2024">
      <w:pPr>
        <w:jc w:val="center"/>
        <w:rPr>
          <w:rFonts w:ascii="Times New Roman" w:hAnsi="Times New Roman"/>
          <w:b/>
        </w:rPr>
      </w:pPr>
      <w:r w:rsidRPr="00BF662F">
        <w:rPr>
          <w:rFonts w:ascii="Times New Roman" w:hAnsi="Times New Roman"/>
          <w:b/>
        </w:rPr>
        <w:lastRenderedPageBreak/>
        <w:t>2. Оценочные (контрольно-измерительные) материалы для промежуточной аттестации</w:t>
      </w:r>
    </w:p>
    <w:p w:rsidR="00BF662F" w:rsidRDefault="00BF662F" w:rsidP="00BF662F">
      <w:pPr>
        <w:rPr>
          <w:rFonts w:ascii="Times New Roman" w:hAnsi="Times New Roman"/>
        </w:rPr>
      </w:pPr>
    </w:p>
    <w:p w:rsidR="003F2024" w:rsidRDefault="00BF662F" w:rsidP="00BF662F">
      <w:pPr>
        <w:tabs>
          <w:tab w:val="left" w:pos="1152"/>
        </w:tabs>
        <w:rPr>
          <w:rFonts w:ascii="Times New Roman" w:hAnsi="Times New Roman"/>
        </w:rPr>
      </w:pPr>
      <w:r>
        <w:rPr>
          <w:rFonts w:ascii="Times New Roman" w:hAnsi="Times New Roman"/>
        </w:rPr>
        <w:tab/>
        <w:t>2.1. Вопросы для подготовки к дифференцированному зачету</w:t>
      </w:r>
    </w:p>
    <w:p w:rsidR="00021B85" w:rsidRDefault="00021B85" w:rsidP="00BF662F">
      <w:pPr>
        <w:tabs>
          <w:tab w:val="left" w:pos="1152"/>
        </w:tabs>
        <w:rPr>
          <w:rFonts w:ascii="Times New Roman" w:hAnsi="Times New Roman"/>
        </w:rPr>
      </w:pPr>
    </w:p>
    <w:p w:rsidR="00021B85" w:rsidRPr="00021B85" w:rsidRDefault="00021B85" w:rsidP="00021B85">
      <w:pPr>
        <w:pStyle w:val="aa"/>
        <w:numPr>
          <w:ilvl w:val="0"/>
          <w:numId w:val="30"/>
        </w:numPr>
        <w:tabs>
          <w:tab w:val="left" w:pos="1152"/>
        </w:tabs>
      </w:pPr>
      <w:r w:rsidRPr="00021B85">
        <w:t>Основы кинематики</w:t>
      </w:r>
    </w:p>
    <w:p w:rsidR="00021B85" w:rsidRPr="00021B85" w:rsidRDefault="00021B85" w:rsidP="00021B85">
      <w:pPr>
        <w:pStyle w:val="aa"/>
        <w:numPr>
          <w:ilvl w:val="0"/>
          <w:numId w:val="30"/>
        </w:numPr>
        <w:tabs>
          <w:tab w:val="left" w:pos="1152"/>
        </w:tabs>
      </w:pPr>
      <w:r w:rsidRPr="00021B85">
        <w:t>Основы динамики</w:t>
      </w:r>
    </w:p>
    <w:p w:rsidR="00021B85" w:rsidRPr="00021B85" w:rsidRDefault="00021B85" w:rsidP="00021B85">
      <w:pPr>
        <w:pStyle w:val="aa"/>
        <w:numPr>
          <w:ilvl w:val="0"/>
          <w:numId w:val="30"/>
        </w:numPr>
        <w:tabs>
          <w:tab w:val="left" w:pos="1152"/>
        </w:tabs>
      </w:pPr>
      <w:r w:rsidRPr="00021B85">
        <w:t>Законы сохранения в механике</w:t>
      </w:r>
    </w:p>
    <w:p w:rsidR="00021B85" w:rsidRPr="00021B85" w:rsidRDefault="00021B85" w:rsidP="00021B85">
      <w:pPr>
        <w:pStyle w:val="aa"/>
        <w:numPr>
          <w:ilvl w:val="0"/>
          <w:numId w:val="30"/>
        </w:numPr>
        <w:tabs>
          <w:tab w:val="left" w:pos="1152"/>
        </w:tabs>
      </w:pPr>
      <w:r w:rsidRPr="00021B85">
        <w:t>Основы молекулярно-кинетической теории</w:t>
      </w:r>
    </w:p>
    <w:p w:rsidR="00021B85" w:rsidRPr="00021B85" w:rsidRDefault="00021B85" w:rsidP="00021B85">
      <w:pPr>
        <w:pStyle w:val="aa"/>
        <w:numPr>
          <w:ilvl w:val="0"/>
          <w:numId w:val="30"/>
        </w:numPr>
        <w:tabs>
          <w:tab w:val="left" w:pos="1152"/>
        </w:tabs>
      </w:pPr>
      <w:r w:rsidRPr="00021B85">
        <w:t>Основы термодинамики</w:t>
      </w:r>
    </w:p>
    <w:p w:rsidR="00021B85" w:rsidRPr="00021B85" w:rsidRDefault="00021B85" w:rsidP="00021B85">
      <w:pPr>
        <w:pStyle w:val="aa"/>
        <w:numPr>
          <w:ilvl w:val="0"/>
          <w:numId w:val="30"/>
        </w:numPr>
        <w:tabs>
          <w:tab w:val="left" w:pos="1152"/>
        </w:tabs>
      </w:pPr>
      <w:r w:rsidRPr="00021B85">
        <w:t>Агрегатные состояния вещества и фазовые</w:t>
      </w:r>
    </w:p>
    <w:p w:rsidR="00021B85" w:rsidRPr="00021B85" w:rsidRDefault="00021B85" w:rsidP="00021B85">
      <w:pPr>
        <w:pStyle w:val="aa"/>
        <w:numPr>
          <w:ilvl w:val="0"/>
          <w:numId w:val="30"/>
        </w:numPr>
        <w:tabs>
          <w:tab w:val="left" w:pos="1152"/>
        </w:tabs>
      </w:pPr>
      <w:r w:rsidRPr="00021B85">
        <w:t>переходы</w:t>
      </w:r>
    </w:p>
    <w:p w:rsidR="00021B85" w:rsidRPr="00021B85" w:rsidRDefault="00021B85" w:rsidP="00021B85">
      <w:pPr>
        <w:pStyle w:val="aa"/>
        <w:numPr>
          <w:ilvl w:val="0"/>
          <w:numId w:val="30"/>
        </w:numPr>
        <w:tabs>
          <w:tab w:val="left" w:pos="1152"/>
        </w:tabs>
      </w:pPr>
      <w:r w:rsidRPr="00021B85">
        <w:t>Электрическое поле</w:t>
      </w:r>
    </w:p>
    <w:p w:rsidR="00021B85" w:rsidRPr="00021B85" w:rsidRDefault="00021B85" w:rsidP="00021B85">
      <w:pPr>
        <w:pStyle w:val="aa"/>
        <w:numPr>
          <w:ilvl w:val="0"/>
          <w:numId w:val="30"/>
        </w:numPr>
        <w:tabs>
          <w:tab w:val="left" w:pos="1152"/>
        </w:tabs>
      </w:pPr>
      <w:r w:rsidRPr="00021B85">
        <w:t>Законы постоянного тока</w:t>
      </w:r>
    </w:p>
    <w:p w:rsidR="00021B85" w:rsidRPr="00021B85" w:rsidRDefault="00021B85" w:rsidP="00021B85">
      <w:pPr>
        <w:pStyle w:val="aa"/>
        <w:numPr>
          <w:ilvl w:val="0"/>
          <w:numId w:val="30"/>
        </w:numPr>
        <w:tabs>
          <w:tab w:val="left" w:pos="1152"/>
        </w:tabs>
      </w:pPr>
      <w:r w:rsidRPr="00021B85">
        <w:t>Электрический ток в различных средах</w:t>
      </w:r>
    </w:p>
    <w:p w:rsidR="00021B85" w:rsidRPr="00021B85" w:rsidRDefault="00021B85" w:rsidP="00021B85">
      <w:pPr>
        <w:pStyle w:val="aa"/>
        <w:numPr>
          <w:ilvl w:val="0"/>
          <w:numId w:val="30"/>
        </w:numPr>
        <w:tabs>
          <w:tab w:val="left" w:pos="1152"/>
        </w:tabs>
      </w:pPr>
      <w:r w:rsidRPr="00021B85">
        <w:t>Магнитное поле</w:t>
      </w:r>
    </w:p>
    <w:p w:rsidR="00021B85" w:rsidRPr="00021B85" w:rsidRDefault="00021B85" w:rsidP="00021B85">
      <w:pPr>
        <w:pStyle w:val="aa"/>
        <w:numPr>
          <w:ilvl w:val="0"/>
          <w:numId w:val="30"/>
        </w:numPr>
        <w:tabs>
          <w:tab w:val="left" w:pos="1152"/>
        </w:tabs>
      </w:pPr>
      <w:r w:rsidRPr="00021B85">
        <w:t>Электромагнитная индукция</w:t>
      </w:r>
    </w:p>
    <w:p w:rsidR="00021B85" w:rsidRPr="00021B85" w:rsidRDefault="00021B85" w:rsidP="00021B85">
      <w:pPr>
        <w:pStyle w:val="aa"/>
        <w:numPr>
          <w:ilvl w:val="0"/>
          <w:numId w:val="30"/>
        </w:numPr>
        <w:tabs>
          <w:tab w:val="left" w:pos="1152"/>
        </w:tabs>
      </w:pPr>
      <w:r w:rsidRPr="00021B85">
        <w:t>Механические колебания и волны</w:t>
      </w:r>
    </w:p>
    <w:p w:rsidR="00021B85" w:rsidRPr="00021B85" w:rsidRDefault="00021B85" w:rsidP="00021B85">
      <w:pPr>
        <w:pStyle w:val="aa"/>
        <w:numPr>
          <w:ilvl w:val="0"/>
          <w:numId w:val="30"/>
        </w:numPr>
        <w:tabs>
          <w:tab w:val="left" w:pos="1152"/>
        </w:tabs>
      </w:pPr>
      <w:r w:rsidRPr="00021B85">
        <w:t>Электромагнитные колебания и волны</w:t>
      </w:r>
    </w:p>
    <w:p w:rsidR="00021B85" w:rsidRPr="00021B85" w:rsidRDefault="00021B85" w:rsidP="00021B85">
      <w:pPr>
        <w:pStyle w:val="aa"/>
        <w:numPr>
          <w:ilvl w:val="0"/>
          <w:numId w:val="30"/>
        </w:numPr>
        <w:tabs>
          <w:tab w:val="left" w:pos="1152"/>
        </w:tabs>
      </w:pPr>
      <w:r w:rsidRPr="00021B85">
        <w:t>Природа света</w:t>
      </w:r>
    </w:p>
    <w:p w:rsidR="00021B85" w:rsidRPr="00021B85" w:rsidRDefault="00021B85" w:rsidP="00021B85">
      <w:pPr>
        <w:pStyle w:val="aa"/>
        <w:numPr>
          <w:ilvl w:val="0"/>
          <w:numId w:val="30"/>
        </w:numPr>
        <w:tabs>
          <w:tab w:val="left" w:pos="1152"/>
        </w:tabs>
      </w:pPr>
      <w:r w:rsidRPr="00021B85">
        <w:t>Волновые свойства света</w:t>
      </w:r>
    </w:p>
    <w:p w:rsidR="00021B85" w:rsidRPr="00021B85" w:rsidRDefault="00021B85" w:rsidP="00021B85">
      <w:pPr>
        <w:pStyle w:val="aa"/>
        <w:numPr>
          <w:ilvl w:val="0"/>
          <w:numId w:val="30"/>
        </w:numPr>
        <w:tabs>
          <w:tab w:val="left" w:pos="1152"/>
        </w:tabs>
      </w:pPr>
      <w:r w:rsidRPr="00021B85">
        <w:t>Специальная теория относительности</w:t>
      </w:r>
    </w:p>
    <w:p w:rsidR="00021B85" w:rsidRPr="00021B85" w:rsidRDefault="00021B85" w:rsidP="00021B85">
      <w:pPr>
        <w:pStyle w:val="aa"/>
        <w:numPr>
          <w:ilvl w:val="0"/>
          <w:numId w:val="30"/>
        </w:numPr>
        <w:tabs>
          <w:tab w:val="left" w:pos="1152"/>
        </w:tabs>
      </w:pPr>
      <w:r w:rsidRPr="00021B85">
        <w:t>Квантовая оптика</w:t>
      </w:r>
    </w:p>
    <w:p w:rsidR="00021B85" w:rsidRPr="00021B85" w:rsidRDefault="00021B85" w:rsidP="00021B85">
      <w:pPr>
        <w:pStyle w:val="aa"/>
        <w:numPr>
          <w:ilvl w:val="0"/>
          <w:numId w:val="30"/>
        </w:numPr>
        <w:tabs>
          <w:tab w:val="left" w:pos="1152"/>
        </w:tabs>
      </w:pPr>
      <w:r w:rsidRPr="00021B85">
        <w:t>Физика атома и атомного ядра</w:t>
      </w:r>
    </w:p>
    <w:p w:rsidR="00BF662F" w:rsidRPr="00021B85" w:rsidRDefault="00BF662F" w:rsidP="00021B85">
      <w:pPr>
        <w:pStyle w:val="aa"/>
        <w:numPr>
          <w:ilvl w:val="0"/>
          <w:numId w:val="30"/>
        </w:numPr>
        <w:tabs>
          <w:tab w:val="left" w:pos="1152"/>
        </w:tabs>
      </w:pPr>
      <w:r w:rsidRPr="00021B85">
        <w:t>Солнечная система: планеты и малые тела, система Земля—Луна</w:t>
      </w:r>
    </w:p>
    <w:p w:rsidR="00BF662F" w:rsidRPr="00021B85" w:rsidRDefault="00BF662F" w:rsidP="00021B85">
      <w:pPr>
        <w:pStyle w:val="aa"/>
        <w:numPr>
          <w:ilvl w:val="0"/>
          <w:numId w:val="30"/>
        </w:numPr>
        <w:tabs>
          <w:tab w:val="left" w:pos="1152"/>
        </w:tabs>
      </w:pPr>
      <w:r w:rsidRPr="00021B85">
        <w:t>Современные представления о строении и эволюции Вселенной</w:t>
      </w:r>
    </w:p>
    <w:sectPr w:rsidR="00BF662F" w:rsidRPr="00021B85"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C39" w:rsidRDefault="00012C39" w:rsidP="009F6EF6">
      <w:r>
        <w:separator/>
      </w:r>
    </w:p>
  </w:endnote>
  <w:endnote w:type="continuationSeparator" w:id="0">
    <w:p w:rsidR="00012C39" w:rsidRDefault="00012C39"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9E4A2F">
          <w:rPr>
            <w:noProof/>
          </w:rPr>
          <w:t>2</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C39" w:rsidRDefault="00012C39" w:rsidP="009F6EF6">
      <w:r>
        <w:separator/>
      </w:r>
    </w:p>
  </w:footnote>
  <w:footnote w:type="continuationSeparator" w:id="0">
    <w:p w:rsidR="00012C39" w:rsidRDefault="00012C39"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34EF0511"/>
    <w:multiLevelType w:val="hybridMultilevel"/>
    <w:tmpl w:val="0ACEF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12C39"/>
    <w:rsid w:val="00021B85"/>
    <w:rsid w:val="000A0D00"/>
    <w:rsid w:val="000F793D"/>
    <w:rsid w:val="0011060E"/>
    <w:rsid w:val="00132EC4"/>
    <w:rsid w:val="00135521"/>
    <w:rsid w:val="00140702"/>
    <w:rsid w:val="001D0E27"/>
    <w:rsid w:val="00207AB0"/>
    <w:rsid w:val="002172E9"/>
    <w:rsid w:val="00283D81"/>
    <w:rsid w:val="002C39A0"/>
    <w:rsid w:val="0031747E"/>
    <w:rsid w:val="0037545E"/>
    <w:rsid w:val="003C5718"/>
    <w:rsid w:val="003D141B"/>
    <w:rsid w:val="003D1AD3"/>
    <w:rsid w:val="003D40D4"/>
    <w:rsid w:val="003F2024"/>
    <w:rsid w:val="00442D32"/>
    <w:rsid w:val="00452FA5"/>
    <w:rsid w:val="00463DEC"/>
    <w:rsid w:val="004B77C6"/>
    <w:rsid w:val="004D6EA9"/>
    <w:rsid w:val="004F18C5"/>
    <w:rsid w:val="004F4AB5"/>
    <w:rsid w:val="006140F0"/>
    <w:rsid w:val="0063184E"/>
    <w:rsid w:val="006459E1"/>
    <w:rsid w:val="00665430"/>
    <w:rsid w:val="00665F15"/>
    <w:rsid w:val="006813E7"/>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E4A2F"/>
    <w:rsid w:val="009F6EF6"/>
    <w:rsid w:val="00A654AE"/>
    <w:rsid w:val="00AC505E"/>
    <w:rsid w:val="00B119F4"/>
    <w:rsid w:val="00B9691B"/>
    <w:rsid w:val="00BD54EC"/>
    <w:rsid w:val="00BF662F"/>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A3A9A"/>
    <w:rsid w:val="00FC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BF662F"/>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13</Pages>
  <Words>2644</Words>
  <Characters>15077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36</cp:revision>
  <cp:lastPrinted>2023-05-03T05:46:00Z</cp:lastPrinted>
  <dcterms:created xsi:type="dcterms:W3CDTF">2016-04-13T10:31:00Z</dcterms:created>
  <dcterms:modified xsi:type="dcterms:W3CDTF">2024-11-18T10:31:00Z</dcterms:modified>
</cp:coreProperties>
</file>